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ADC6" w14:textId="38FD4F69" w:rsidR="00F77F78" w:rsidRDefault="00F77F78" w:rsidP="00525102">
      <w:pPr>
        <w:spacing w:after="0"/>
        <w:ind w:left="360"/>
        <w:jc w:val="center"/>
        <w:outlineLvl w:val="0"/>
        <w:rPr>
          <w:sz w:val="28"/>
          <w:szCs w:val="28"/>
        </w:rPr>
      </w:pPr>
    </w:p>
    <w:p w14:paraId="68DC37BF" w14:textId="3C72C77B" w:rsidR="00F77F78" w:rsidRPr="00F77F78" w:rsidRDefault="00F77F78" w:rsidP="00F77F78">
      <w:pPr>
        <w:spacing w:after="0"/>
        <w:ind w:left="360"/>
        <w:jc w:val="center"/>
        <w:outlineLvl w:val="0"/>
        <w:rPr>
          <w:b/>
          <w:bCs/>
          <w:sz w:val="28"/>
          <w:szCs w:val="28"/>
        </w:rPr>
      </w:pPr>
      <w:r w:rsidRPr="00F77F78">
        <w:rPr>
          <w:b/>
          <w:bCs/>
          <w:sz w:val="28"/>
          <w:szCs w:val="28"/>
        </w:rPr>
        <w:t>Procurement Compliance with Minimum Standards – Self Assessment</w:t>
      </w:r>
    </w:p>
    <w:p w14:paraId="69E1FCD1" w14:textId="77777777" w:rsidR="006516AA" w:rsidRDefault="006516AA" w:rsidP="006516AA"/>
    <w:tbl>
      <w:tblPr>
        <w:tblW w:w="17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4950"/>
        <w:gridCol w:w="2520"/>
        <w:gridCol w:w="1620"/>
        <w:gridCol w:w="4500"/>
      </w:tblGrid>
      <w:tr w:rsidR="006516AA" w14:paraId="239CEF94" w14:textId="77777777" w:rsidTr="007C44A2">
        <w:tc>
          <w:tcPr>
            <w:tcW w:w="3775" w:type="dxa"/>
          </w:tcPr>
          <w:p w14:paraId="2F0CBCCC" w14:textId="77777777" w:rsidR="006516AA" w:rsidRDefault="006516AA" w:rsidP="007C44A2">
            <w:pPr>
              <w:rPr>
                <w:b/>
                <w:sz w:val="24"/>
                <w:szCs w:val="24"/>
              </w:rPr>
            </w:pPr>
            <w:r>
              <w:rPr>
                <w:b/>
                <w:sz w:val="24"/>
                <w:szCs w:val="24"/>
              </w:rPr>
              <w:t>Procurement Standard</w:t>
            </w:r>
          </w:p>
        </w:tc>
        <w:tc>
          <w:tcPr>
            <w:tcW w:w="4950" w:type="dxa"/>
          </w:tcPr>
          <w:p w14:paraId="16B3B361" w14:textId="77777777" w:rsidR="006516AA" w:rsidRDefault="006516AA" w:rsidP="007C44A2">
            <w:pPr>
              <w:rPr>
                <w:b/>
                <w:sz w:val="24"/>
                <w:szCs w:val="24"/>
              </w:rPr>
            </w:pPr>
            <w:r>
              <w:rPr>
                <w:b/>
                <w:sz w:val="24"/>
                <w:szCs w:val="24"/>
              </w:rPr>
              <w:t>Executing Entity Description of how they meet the Standard</w:t>
            </w:r>
          </w:p>
        </w:tc>
        <w:tc>
          <w:tcPr>
            <w:tcW w:w="2520" w:type="dxa"/>
          </w:tcPr>
          <w:p w14:paraId="06F55ED8" w14:textId="77777777" w:rsidR="006516AA" w:rsidRDefault="006516AA" w:rsidP="007C44A2">
            <w:pPr>
              <w:rPr>
                <w:b/>
                <w:sz w:val="24"/>
                <w:szCs w:val="24"/>
              </w:rPr>
            </w:pPr>
            <w:r>
              <w:rPr>
                <w:b/>
                <w:sz w:val="24"/>
                <w:szCs w:val="24"/>
              </w:rPr>
              <w:t xml:space="preserve">Recipient Assessment (Compliance, Partial Compliance, Non-compliance) </w:t>
            </w:r>
          </w:p>
        </w:tc>
        <w:tc>
          <w:tcPr>
            <w:tcW w:w="1620" w:type="dxa"/>
          </w:tcPr>
          <w:p w14:paraId="0E442657" w14:textId="77777777" w:rsidR="006516AA" w:rsidRDefault="006516AA" w:rsidP="007C44A2">
            <w:pPr>
              <w:rPr>
                <w:b/>
                <w:sz w:val="24"/>
                <w:szCs w:val="24"/>
              </w:rPr>
            </w:pPr>
            <w:r>
              <w:rPr>
                <w:b/>
                <w:sz w:val="24"/>
                <w:szCs w:val="24"/>
              </w:rPr>
              <w:t xml:space="preserve">Reference to submitted document, </w:t>
            </w:r>
            <w:proofErr w:type="gramStart"/>
            <w:r>
              <w:rPr>
                <w:b/>
                <w:sz w:val="24"/>
                <w:szCs w:val="24"/>
              </w:rPr>
              <w:t>page</w:t>
            </w:r>
            <w:proofErr w:type="gramEnd"/>
            <w:r>
              <w:rPr>
                <w:b/>
                <w:sz w:val="24"/>
                <w:szCs w:val="24"/>
              </w:rPr>
              <w:t xml:space="preserve"> and paragraphs</w:t>
            </w:r>
          </w:p>
        </w:tc>
        <w:tc>
          <w:tcPr>
            <w:tcW w:w="4500" w:type="dxa"/>
          </w:tcPr>
          <w:p w14:paraId="677F8EFA" w14:textId="77777777" w:rsidR="006516AA" w:rsidRDefault="006516AA" w:rsidP="007C44A2">
            <w:pPr>
              <w:rPr>
                <w:b/>
                <w:sz w:val="24"/>
                <w:szCs w:val="24"/>
              </w:rPr>
            </w:pPr>
            <w:r>
              <w:rPr>
                <w:b/>
                <w:sz w:val="24"/>
                <w:szCs w:val="24"/>
              </w:rPr>
              <w:t>WWF US Response</w:t>
            </w:r>
          </w:p>
        </w:tc>
      </w:tr>
      <w:tr w:rsidR="006516AA" w:rsidRPr="00095B58" w14:paraId="6A9EBA94" w14:textId="77777777" w:rsidTr="007C44A2">
        <w:tc>
          <w:tcPr>
            <w:tcW w:w="17365" w:type="dxa"/>
            <w:gridSpan w:val="5"/>
          </w:tcPr>
          <w:p w14:paraId="2E360D08" w14:textId="2A65B690" w:rsidR="006516AA" w:rsidRPr="00F77F78" w:rsidRDefault="006516AA" w:rsidP="007C44A2">
            <w:pPr>
              <w:pBdr>
                <w:top w:val="nil"/>
                <w:left w:val="nil"/>
                <w:bottom w:val="nil"/>
                <w:right w:val="nil"/>
                <w:between w:val="nil"/>
              </w:pBdr>
              <w:rPr>
                <w:rFonts w:asciiTheme="majorHAnsi" w:hAnsiTheme="majorHAnsi" w:cstheme="majorHAnsi"/>
                <w:color w:val="000000"/>
              </w:rPr>
            </w:pPr>
            <w:r w:rsidRPr="001149E1">
              <w:rPr>
                <w:rFonts w:asciiTheme="majorHAnsi" w:hAnsiTheme="majorHAnsi" w:cstheme="majorHAnsi"/>
                <w:color w:val="000000"/>
              </w:rPr>
              <w:t xml:space="preserve">Procurement Processes </w:t>
            </w:r>
            <w:r w:rsidRPr="001149E1">
              <w:rPr>
                <w:rFonts w:asciiTheme="majorHAnsi" w:hAnsiTheme="majorHAnsi" w:cstheme="majorHAnsi"/>
                <w:i/>
                <w:color w:val="000000"/>
              </w:rPr>
              <w:t xml:space="preserve">– </w:t>
            </w:r>
            <w:r w:rsidRPr="001149E1">
              <w:rPr>
                <w:rFonts w:asciiTheme="majorHAnsi" w:hAnsiTheme="majorHAnsi" w:cstheme="majorHAnsi"/>
                <w:i/>
              </w:rPr>
              <w:t xml:space="preserve">Executing Entity procurement </w:t>
            </w:r>
            <w:r w:rsidRPr="001149E1">
              <w:rPr>
                <w:rFonts w:asciiTheme="majorHAnsi" w:hAnsiTheme="majorHAnsi" w:cstheme="majorHAnsi"/>
                <w:i/>
                <w:color w:val="000000"/>
              </w:rPr>
              <w:t xml:space="preserve">processes covering both internal/administrative procurement and procurement by sub recipients of funds include written standards based on widely recognized processes and an internal control framework to protect against fraudulent and corrupt practices (using widely recognized definitions such as those agreed by the International Financial Institutions Anti- Corruption Task Force) and waste. </w:t>
            </w:r>
          </w:p>
        </w:tc>
      </w:tr>
      <w:tr w:rsidR="006516AA" w:rsidRPr="009F1B7D" w14:paraId="54023FBB" w14:textId="77777777" w:rsidTr="007C44A2">
        <w:tc>
          <w:tcPr>
            <w:tcW w:w="3775" w:type="dxa"/>
          </w:tcPr>
          <w:p w14:paraId="5A013121" w14:textId="7C92E4F0" w:rsidR="006516AA" w:rsidRPr="001149E1" w:rsidRDefault="006516AA" w:rsidP="007C44A2">
            <w:pPr>
              <w:pBdr>
                <w:top w:val="nil"/>
                <w:left w:val="nil"/>
                <w:bottom w:val="nil"/>
                <w:right w:val="nil"/>
                <w:between w:val="nil"/>
              </w:pBdr>
              <w:rPr>
                <w:rFonts w:asciiTheme="majorHAnsi" w:hAnsiTheme="majorHAnsi" w:cstheme="majorHAnsi"/>
              </w:rPr>
            </w:pPr>
            <w:r w:rsidRPr="001149E1">
              <w:rPr>
                <w:rFonts w:asciiTheme="majorHAnsi" w:hAnsiTheme="majorHAnsi" w:cstheme="majorHAnsi"/>
              </w:rPr>
              <w:t xml:space="preserve">(a) Specific policies and guidelines promote economy, efficiency, transparency, and fairness in procurement through written standards and procedures that specify procurement requirements, accountability, and authority to take procurement actions. As a minimum, these policies and guidelines provide for: </w:t>
            </w:r>
          </w:p>
          <w:p w14:paraId="7AC6A21D" w14:textId="77777777" w:rsidR="006516AA" w:rsidRPr="001149E1" w:rsidRDefault="006516AA" w:rsidP="007C44A2">
            <w:pPr>
              <w:spacing w:after="73"/>
              <w:rPr>
                <w:rFonts w:asciiTheme="majorHAnsi" w:hAnsiTheme="majorHAnsi" w:cstheme="majorHAnsi"/>
              </w:rPr>
            </w:pPr>
            <w:r w:rsidRPr="001149E1">
              <w:rPr>
                <w:rFonts w:asciiTheme="majorHAnsi" w:hAnsiTheme="majorHAnsi" w:cstheme="majorHAnsi"/>
              </w:rPr>
              <w:t xml:space="preserve">• Open competition and define the situations in which other less competitive methods can be used; and </w:t>
            </w:r>
          </w:p>
          <w:p w14:paraId="6EDE59EB" w14:textId="1A5B807E" w:rsidR="006516AA" w:rsidRPr="001149E1" w:rsidRDefault="006516AA" w:rsidP="007C44A2">
            <w:pPr>
              <w:rPr>
                <w:rFonts w:asciiTheme="majorHAnsi" w:hAnsiTheme="majorHAnsi" w:cstheme="majorHAnsi"/>
              </w:rPr>
            </w:pPr>
            <w:r w:rsidRPr="001149E1">
              <w:rPr>
                <w:rFonts w:asciiTheme="majorHAnsi" w:hAnsiTheme="majorHAnsi" w:cstheme="majorHAnsi"/>
              </w:rPr>
              <w:t xml:space="preserve">• Wide participation through publication of business opportunities; descriptive bid/ proposal documents that disclose the evaluation criteria to </w:t>
            </w:r>
            <w:r w:rsidRPr="001149E1">
              <w:rPr>
                <w:rFonts w:asciiTheme="majorHAnsi" w:hAnsiTheme="majorHAnsi" w:cstheme="majorHAnsi"/>
              </w:rPr>
              <w:lastRenderedPageBreak/>
              <w:t xml:space="preserve">be used; neutral and broad specifications; non-discriminatory participation and selection principles; and sufficient time to submit bids or proposals. </w:t>
            </w:r>
          </w:p>
        </w:tc>
        <w:tc>
          <w:tcPr>
            <w:tcW w:w="4950" w:type="dxa"/>
          </w:tcPr>
          <w:p w14:paraId="632C70A0" w14:textId="77777777" w:rsidR="006516AA" w:rsidRPr="001149E1" w:rsidRDefault="006516AA" w:rsidP="007C44A2">
            <w:pPr>
              <w:rPr>
                <w:rFonts w:asciiTheme="majorHAnsi" w:hAnsiTheme="majorHAnsi" w:cstheme="majorHAnsi"/>
              </w:rPr>
            </w:pPr>
          </w:p>
          <w:p w14:paraId="3AE98577" w14:textId="77777777" w:rsidR="006516AA" w:rsidRPr="001149E1" w:rsidRDefault="006516AA" w:rsidP="007C44A2">
            <w:pPr>
              <w:rPr>
                <w:rFonts w:asciiTheme="majorHAnsi" w:hAnsiTheme="majorHAnsi" w:cstheme="majorHAnsi"/>
              </w:rPr>
            </w:pPr>
          </w:p>
        </w:tc>
        <w:tc>
          <w:tcPr>
            <w:tcW w:w="2520" w:type="dxa"/>
          </w:tcPr>
          <w:p w14:paraId="2BB1E9D1" w14:textId="77777777" w:rsidR="006516AA" w:rsidRPr="001149E1" w:rsidRDefault="006516AA" w:rsidP="007C44A2">
            <w:pPr>
              <w:pBdr>
                <w:top w:val="nil"/>
                <w:left w:val="nil"/>
                <w:bottom w:val="nil"/>
                <w:right w:val="nil"/>
                <w:between w:val="nil"/>
              </w:pBdr>
              <w:rPr>
                <w:rFonts w:asciiTheme="majorHAnsi" w:hAnsiTheme="majorHAnsi" w:cstheme="majorHAnsi"/>
              </w:rPr>
            </w:pPr>
          </w:p>
        </w:tc>
        <w:tc>
          <w:tcPr>
            <w:tcW w:w="1620" w:type="dxa"/>
          </w:tcPr>
          <w:p w14:paraId="6363CA9E" w14:textId="77777777" w:rsidR="006516AA" w:rsidRPr="001149E1" w:rsidRDefault="006516AA" w:rsidP="007C44A2">
            <w:pPr>
              <w:rPr>
                <w:rFonts w:asciiTheme="majorHAnsi" w:hAnsiTheme="majorHAnsi" w:cstheme="majorHAnsi"/>
              </w:rPr>
            </w:pPr>
          </w:p>
        </w:tc>
        <w:tc>
          <w:tcPr>
            <w:tcW w:w="4500" w:type="dxa"/>
          </w:tcPr>
          <w:p w14:paraId="06610B7C" w14:textId="77777777" w:rsidR="006516AA" w:rsidRPr="001149E1" w:rsidRDefault="006516AA" w:rsidP="007C44A2">
            <w:pPr>
              <w:rPr>
                <w:rFonts w:asciiTheme="majorHAnsi" w:hAnsiTheme="majorHAnsi" w:cstheme="majorHAnsi"/>
              </w:rPr>
            </w:pPr>
          </w:p>
        </w:tc>
      </w:tr>
      <w:tr w:rsidR="006516AA" w:rsidRPr="009F1B7D" w14:paraId="2A17775F" w14:textId="77777777" w:rsidTr="007C44A2">
        <w:tc>
          <w:tcPr>
            <w:tcW w:w="3775" w:type="dxa"/>
          </w:tcPr>
          <w:p w14:paraId="268ABC35" w14:textId="435D2E33" w:rsidR="006516AA" w:rsidRPr="001149E1" w:rsidRDefault="006516AA" w:rsidP="00F77F78">
            <w:pPr>
              <w:rPr>
                <w:rFonts w:asciiTheme="majorHAnsi" w:hAnsiTheme="majorHAnsi" w:cstheme="majorHAnsi"/>
              </w:rPr>
            </w:pPr>
            <w:r w:rsidRPr="001149E1">
              <w:rPr>
                <w:rFonts w:asciiTheme="majorHAnsi" w:hAnsiTheme="majorHAnsi" w:cstheme="majorHAnsi"/>
              </w:rPr>
              <w:t xml:space="preserve">(b) Specific procurement guidelines are in place with respect to different types and categories of procurement, including the recruitment of consultants. </w:t>
            </w:r>
          </w:p>
        </w:tc>
        <w:tc>
          <w:tcPr>
            <w:tcW w:w="4950" w:type="dxa"/>
          </w:tcPr>
          <w:p w14:paraId="3362FE98" w14:textId="77777777" w:rsidR="006516AA" w:rsidRPr="001149E1" w:rsidRDefault="006516AA" w:rsidP="007C44A2">
            <w:pPr>
              <w:rPr>
                <w:rFonts w:asciiTheme="majorHAnsi" w:hAnsiTheme="majorHAnsi" w:cstheme="majorHAnsi"/>
                <w:i/>
              </w:rPr>
            </w:pPr>
          </w:p>
        </w:tc>
        <w:tc>
          <w:tcPr>
            <w:tcW w:w="2520" w:type="dxa"/>
          </w:tcPr>
          <w:p w14:paraId="77CDCFAD" w14:textId="77777777" w:rsidR="006516AA" w:rsidRPr="001149E1" w:rsidRDefault="006516AA" w:rsidP="007C44A2">
            <w:pPr>
              <w:rPr>
                <w:rFonts w:asciiTheme="majorHAnsi" w:hAnsiTheme="majorHAnsi" w:cstheme="majorHAnsi"/>
              </w:rPr>
            </w:pPr>
          </w:p>
        </w:tc>
        <w:tc>
          <w:tcPr>
            <w:tcW w:w="1620" w:type="dxa"/>
          </w:tcPr>
          <w:p w14:paraId="2DA52479" w14:textId="77777777" w:rsidR="006516AA" w:rsidRPr="001149E1" w:rsidRDefault="006516AA" w:rsidP="007C44A2">
            <w:pPr>
              <w:rPr>
                <w:rFonts w:asciiTheme="majorHAnsi" w:hAnsiTheme="majorHAnsi" w:cstheme="majorHAnsi"/>
              </w:rPr>
            </w:pPr>
          </w:p>
        </w:tc>
        <w:tc>
          <w:tcPr>
            <w:tcW w:w="4500" w:type="dxa"/>
          </w:tcPr>
          <w:p w14:paraId="3374FCEA" w14:textId="77777777" w:rsidR="006516AA" w:rsidRPr="001149E1" w:rsidRDefault="006516AA" w:rsidP="007C44A2">
            <w:pPr>
              <w:rPr>
                <w:rFonts w:asciiTheme="majorHAnsi" w:hAnsiTheme="majorHAnsi" w:cstheme="majorHAnsi"/>
              </w:rPr>
            </w:pPr>
          </w:p>
        </w:tc>
      </w:tr>
      <w:tr w:rsidR="006516AA" w:rsidRPr="009F1B7D" w14:paraId="46779EAB" w14:textId="77777777" w:rsidTr="007C44A2">
        <w:tc>
          <w:tcPr>
            <w:tcW w:w="3775" w:type="dxa"/>
          </w:tcPr>
          <w:p w14:paraId="21D2F77D" w14:textId="68C23EDB" w:rsidR="006516AA" w:rsidRPr="001149E1" w:rsidRDefault="006516AA" w:rsidP="00F77F78">
            <w:pPr>
              <w:rPr>
                <w:rFonts w:asciiTheme="majorHAnsi" w:hAnsiTheme="majorHAnsi" w:cstheme="majorHAnsi"/>
              </w:rPr>
            </w:pPr>
            <w:r w:rsidRPr="001149E1">
              <w:rPr>
                <w:rFonts w:asciiTheme="majorHAnsi" w:hAnsiTheme="majorHAnsi" w:cstheme="majorHAnsi"/>
              </w:rPr>
              <w:t xml:space="preserve">(c) Procurement guidelines provide for security and confidentiality of information during the bidding, opening, evaluation and debriefing phases of procurement. </w:t>
            </w:r>
          </w:p>
        </w:tc>
        <w:tc>
          <w:tcPr>
            <w:tcW w:w="4950" w:type="dxa"/>
          </w:tcPr>
          <w:p w14:paraId="356D4742" w14:textId="77777777" w:rsidR="006516AA" w:rsidRPr="001149E1" w:rsidRDefault="006516AA" w:rsidP="007C44A2">
            <w:pPr>
              <w:rPr>
                <w:rFonts w:asciiTheme="majorHAnsi" w:hAnsiTheme="majorHAnsi" w:cstheme="majorHAnsi"/>
              </w:rPr>
            </w:pPr>
          </w:p>
        </w:tc>
        <w:tc>
          <w:tcPr>
            <w:tcW w:w="2520" w:type="dxa"/>
          </w:tcPr>
          <w:p w14:paraId="3C538871" w14:textId="77777777" w:rsidR="006516AA" w:rsidRPr="001149E1" w:rsidRDefault="006516AA" w:rsidP="007C44A2">
            <w:pPr>
              <w:rPr>
                <w:rFonts w:asciiTheme="majorHAnsi" w:hAnsiTheme="majorHAnsi" w:cstheme="majorHAnsi"/>
              </w:rPr>
            </w:pPr>
          </w:p>
        </w:tc>
        <w:tc>
          <w:tcPr>
            <w:tcW w:w="1620" w:type="dxa"/>
          </w:tcPr>
          <w:p w14:paraId="6BA62C3E" w14:textId="77777777" w:rsidR="006516AA" w:rsidRPr="001149E1" w:rsidRDefault="006516AA" w:rsidP="007C44A2">
            <w:pPr>
              <w:rPr>
                <w:rFonts w:asciiTheme="majorHAnsi" w:hAnsiTheme="majorHAnsi" w:cstheme="majorHAnsi"/>
              </w:rPr>
            </w:pPr>
          </w:p>
        </w:tc>
        <w:tc>
          <w:tcPr>
            <w:tcW w:w="4500" w:type="dxa"/>
          </w:tcPr>
          <w:p w14:paraId="60FC3484" w14:textId="77777777" w:rsidR="006516AA" w:rsidRPr="001149E1" w:rsidRDefault="006516AA" w:rsidP="007C44A2">
            <w:pPr>
              <w:rPr>
                <w:rFonts w:asciiTheme="majorHAnsi" w:hAnsiTheme="majorHAnsi" w:cstheme="majorHAnsi"/>
              </w:rPr>
            </w:pPr>
          </w:p>
        </w:tc>
      </w:tr>
      <w:tr w:rsidR="006516AA" w:rsidRPr="009F1B7D" w14:paraId="12E08CA1" w14:textId="77777777" w:rsidTr="007C44A2">
        <w:tc>
          <w:tcPr>
            <w:tcW w:w="3775" w:type="dxa"/>
          </w:tcPr>
          <w:p w14:paraId="760EE37B" w14:textId="77777777" w:rsidR="006516AA" w:rsidRPr="001149E1" w:rsidRDefault="006516AA" w:rsidP="007C44A2">
            <w:pPr>
              <w:rPr>
                <w:rFonts w:asciiTheme="majorHAnsi" w:hAnsiTheme="majorHAnsi" w:cstheme="majorHAnsi"/>
              </w:rPr>
            </w:pPr>
            <w:r w:rsidRPr="001149E1">
              <w:rPr>
                <w:rFonts w:asciiTheme="majorHAnsi" w:hAnsiTheme="majorHAnsi" w:cstheme="majorHAnsi"/>
              </w:rPr>
              <w:t xml:space="preserve">(f) General Conditions of Contract and tender conditions provide for contract awardees to adhere to anti-fraud and corruption policies and provide access to GEF Partner Agency investigators to bidder/contractor records relating to bids and contracts </w:t>
            </w:r>
            <w:proofErr w:type="gramStart"/>
            <w:r w:rsidRPr="001149E1">
              <w:rPr>
                <w:rFonts w:asciiTheme="majorHAnsi" w:hAnsiTheme="majorHAnsi" w:cstheme="majorHAnsi"/>
              </w:rPr>
              <w:t>in the event that</w:t>
            </w:r>
            <w:proofErr w:type="gramEnd"/>
            <w:r w:rsidRPr="001149E1">
              <w:rPr>
                <w:rFonts w:asciiTheme="majorHAnsi" w:hAnsiTheme="majorHAnsi" w:cstheme="majorHAnsi"/>
              </w:rPr>
              <w:t xml:space="preserve"> this is needed to support investigations of complaints of fraud or corruption. </w:t>
            </w:r>
          </w:p>
        </w:tc>
        <w:tc>
          <w:tcPr>
            <w:tcW w:w="4950" w:type="dxa"/>
          </w:tcPr>
          <w:p w14:paraId="3439CBF6" w14:textId="77777777" w:rsidR="006516AA" w:rsidRPr="001149E1" w:rsidRDefault="006516AA" w:rsidP="007C44A2">
            <w:pPr>
              <w:rPr>
                <w:rFonts w:asciiTheme="majorHAnsi" w:hAnsiTheme="majorHAnsi" w:cstheme="majorHAnsi"/>
              </w:rPr>
            </w:pPr>
          </w:p>
        </w:tc>
        <w:tc>
          <w:tcPr>
            <w:tcW w:w="2520" w:type="dxa"/>
          </w:tcPr>
          <w:p w14:paraId="285273F6" w14:textId="77777777" w:rsidR="006516AA" w:rsidRPr="001149E1" w:rsidRDefault="006516AA" w:rsidP="007C44A2">
            <w:pPr>
              <w:rPr>
                <w:rFonts w:asciiTheme="majorHAnsi" w:hAnsiTheme="majorHAnsi" w:cstheme="majorHAnsi"/>
              </w:rPr>
            </w:pPr>
          </w:p>
        </w:tc>
        <w:tc>
          <w:tcPr>
            <w:tcW w:w="1620" w:type="dxa"/>
          </w:tcPr>
          <w:p w14:paraId="7E3764CD" w14:textId="77777777" w:rsidR="006516AA" w:rsidRPr="001149E1" w:rsidRDefault="006516AA" w:rsidP="007C44A2">
            <w:pPr>
              <w:rPr>
                <w:rFonts w:asciiTheme="majorHAnsi" w:hAnsiTheme="majorHAnsi" w:cstheme="majorHAnsi"/>
              </w:rPr>
            </w:pPr>
          </w:p>
        </w:tc>
        <w:tc>
          <w:tcPr>
            <w:tcW w:w="4500" w:type="dxa"/>
          </w:tcPr>
          <w:p w14:paraId="2E2314C5" w14:textId="77777777" w:rsidR="006516AA" w:rsidRPr="001149E1" w:rsidRDefault="006516AA" w:rsidP="007C44A2">
            <w:pPr>
              <w:rPr>
                <w:rFonts w:asciiTheme="majorHAnsi" w:hAnsiTheme="majorHAnsi" w:cstheme="majorHAnsi"/>
              </w:rPr>
            </w:pPr>
          </w:p>
        </w:tc>
      </w:tr>
      <w:tr w:rsidR="006516AA" w:rsidRPr="009F1B7D" w14:paraId="222308A3" w14:textId="77777777" w:rsidTr="007C44A2">
        <w:tc>
          <w:tcPr>
            <w:tcW w:w="3775" w:type="dxa"/>
          </w:tcPr>
          <w:p w14:paraId="7FD2E2C4" w14:textId="2D9CF95F" w:rsidR="006516AA" w:rsidRPr="001149E1" w:rsidRDefault="006516AA" w:rsidP="00F77F78">
            <w:pPr>
              <w:rPr>
                <w:rFonts w:asciiTheme="majorHAnsi" w:hAnsiTheme="majorHAnsi" w:cstheme="majorHAnsi"/>
              </w:rPr>
            </w:pPr>
            <w:r w:rsidRPr="001149E1">
              <w:rPr>
                <w:rFonts w:asciiTheme="majorHAnsi" w:hAnsiTheme="majorHAnsi" w:cstheme="majorHAnsi"/>
              </w:rPr>
              <w:t>(g) Procurement guidelines encourage the consideration of sustainability concepts in the procurement of goods.</w:t>
            </w:r>
          </w:p>
        </w:tc>
        <w:tc>
          <w:tcPr>
            <w:tcW w:w="4950" w:type="dxa"/>
          </w:tcPr>
          <w:p w14:paraId="58526EFD" w14:textId="77777777" w:rsidR="006516AA" w:rsidRPr="001149E1" w:rsidRDefault="006516AA" w:rsidP="007C44A2">
            <w:pPr>
              <w:rPr>
                <w:rFonts w:asciiTheme="majorHAnsi" w:hAnsiTheme="majorHAnsi" w:cstheme="majorHAnsi"/>
              </w:rPr>
            </w:pPr>
          </w:p>
          <w:p w14:paraId="6D78CE6D" w14:textId="77777777" w:rsidR="006516AA" w:rsidRPr="001149E1" w:rsidRDefault="006516AA" w:rsidP="007C44A2">
            <w:pPr>
              <w:rPr>
                <w:rFonts w:asciiTheme="majorHAnsi" w:hAnsiTheme="majorHAnsi" w:cstheme="majorHAnsi"/>
              </w:rPr>
            </w:pPr>
          </w:p>
        </w:tc>
        <w:tc>
          <w:tcPr>
            <w:tcW w:w="2520" w:type="dxa"/>
          </w:tcPr>
          <w:p w14:paraId="4E9428BA" w14:textId="77777777" w:rsidR="006516AA" w:rsidRPr="001149E1" w:rsidRDefault="006516AA" w:rsidP="007C44A2">
            <w:pPr>
              <w:rPr>
                <w:rFonts w:asciiTheme="majorHAnsi" w:hAnsiTheme="majorHAnsi" w:cstheme="majorHAnsi"/>
              </w:rPr>
            </w:pPr>
          </w:p>
          <w:p w14:paraId="24EB4E99" w14:textId="77777777" w:rsidR="006516AA" w:rsidRPr="001149E1" w:rsidRDefault="006516AA" w:rsidP="007C44A2">
            <w:pPr>
              <w:rPr>
                <w:rFonts w:asciiTheme="majorHAnsi" w:hAnsiTheme="majorHAnsi" w:cstheme="majorHAnsi"/>
              </w:rPr>
            </w:pPr>
          </w:p>
        </w:tc>
        <w:tc>
          <w:tcPr>
            <w:tcW w:w="1620" w:type="dxa"/>
          </w:tcPr>
          <w:p w14:paraId="7233140D" w14:textId="77777777" w:rsidR="006516AA" w:rsidRPr="001149E1" w:rsidRDefault="006516AA" w:rsidP="007C44A2">
            <w:pPr>
              <w:rPr>
                <w:rFonts w:asciiTheme="majorHAnsi" w:hAnsiTheme="majorHAnsi" w:cstheme="majorHAnsi"/>
              </w:rPr>
            </w:pPr>
          </w:p>
        </w:tc>
        <w:tc>
          <w:tcPr>
            <w:tcW w:w="4500" w:type="dxa"/>
          </w:tcPr>
          <w:p w14:paraId="2C953A13" w14:textId="77777777" w:rsidR="006516AA" w:rsidRPr="001149E1" w:rsidRDefault="006516AA" w:rsidP="007C44A2">
            <w:pPr>
              <w:rPr>
                <w:rFonts w:asciiTheme="majorHAnsi" w:hAnsiTheme="majorHAnsi" w:cstheme="majorHAnsi"/>
              </w:rPr>
            </w:pPr>
          </w:p>
          <w:p w14:paraId="73E1AE69" w14:textId="77777777" w:rsidR="006516AA" w:rsidRPr="001149E1" w:rsidRDefault="006516AA" w:rsidP="007C44A2">
            <w:pPr>
              <w:rPr>
                <w:rFonts w:asciiTheme="majorHAnsi" w:hAnsiTheme="majorHAnsi" w:cstheme="majorHAnsi"/>
              </w:rPr>
            </w:pPr>
          </w:p>
          <w:p w14:paraId="33ECE53C" w14:textId="77777777" w:rsidR="006516AA" w:rsidRPr="001149E1" w:rsidRDefault="006516AA" w:rsidP="007C44A2">
            <w:pPr>
              <w:rPr>
                <w:rFonts w:asciiTheme="majorHAnsi" w:hAnsiTheme="majorHAnsi" w:cstheme="majorHAnsi"/>
              </w:rPr>
            </w:pPr>
          </w:p>
        </w:tc>
      </w:tr>
      <w:tr w:rsidR="006516AA" w:rsidRPr="009F1B7D" w14:paraId="330A9ACF" w14:textId="77777777" w:rsidTr="007C44A2">
        <w:tc>
          <w:tcPr>
            <w:tcW w:w="3775" w:type="dxa"/>
          </w:tcPr>
          <w:p w14:paraId="2153ABDB" w14:textId="7A178DE5" w:rsidR="006516AA" w:rsidRPr="001149E1" w:rsidRDefault="006516AA" w:rsidP="00F77F78">
            <w:pPr>
              <w:rPr>
                <w:rFonts w:asciiTheme="majorHAnsi" w:hAnsiTheme="majorHAnsi" w:cstheme="majorHAnsi"/>
              </w:rPr>
            </w:pPr>
            <w:r w:rsidRPr="001149E1">
              <w:rPr>
                <w:rFonts w:asciiTheme="majorHAnsi" w:hAnsiTheme="majorHAnsi" w:cstheme="majorHAnsi"/>
              </w:rPr>
              <w:lastRenderedPageBreak/>
              <w:t xml:space="preserve">(h) Specific procedures, </w:t>
            </w:r>
            <w:proofErr w:type="gramStart"/>
            <w:r w:rsidRPr="001149E1">
              <w:rPr>
                <w:rFonts w:asciiTheme="majorHAnsi" w:hAnsiTheme="majorHAnsi" w:cstheme="majorHAnsi"/>
              </w:rPr>
              <w:t>guidelines</w:t>
            </w:r>
            <w:proofErr w:type="gramEnd"/>
            <w:r w:rsidRPr="001149E1">
              <w:rPr>
                <w:rFonts w:asciiTheme="majorHAnsi" w:hAnsiTheme="majorHAnsi" w:cstheme="majorHAnsi"/>
              </w:rPr>
              <w:t xml:space="preserve"> and methodologies of assessing the procurement procedures of subrecipients are in place. </w:t>
            </w:r>
          </w:p>
        </w:tc>
        <w:tc>
          <w:tcPr>
            <w:tcW w:w="4950" w:type="dxa"/>
          </w:tcPr>
          <w:p w14:paraId="21F4BEC9" w14:textId="77777777" w:rsidR="006516AA" w:rsidRPr="001149E1" w:rsidRDefault="006516AA" w:rsidP="007C44A2">
            <w:pPr>
              <w:rPr>
                <w:rFonts w:asciiTheme="majorHAnsi" w:hAnsiTheme="majorHAnsi" w:cstheme="majorHAnsi"/>
                <w:b/>
              </w:rPr>
            </w:pPr>
          </w:p>
          <w:p w14:paraId="4547F0C6" w14:textId="77777777" w:rsidR="006516AA" w:rsidRPr="001149E1" w:rsidRDefault="006516AA" w:rsidP="007C44A2">
            <w:pPr>
              <w:rPr>
                <w:rFonts w:asciiTheme="majorHAnsi" w:hAnsiTheme="majorHAnsi" w:cstheme="majorHAnsi"/>
              </w:rPr>
            </w:pPr>
          </w:p>
        </w:tc>
        <w:tc>
          <w:tcPr>
            <w:tcW w:w="2520" w:type="dxa"/>
          </w:tcPr>
          <w:p w14:paraId="73ECA7E7" w14:textId="77777777" w:rsidR="006516AA" w:rsidRPr="001149E1" w:rsidRDefault="006516AA" w:rsidP="007C44A2">
            <w:pPr>
              <w:pBdr>
                <w:top w:val="nil"/>
                <w:left w:val="nil"/>
                <w:bottom w:val="nil"/>
                <w:right w:val="nil"/>
                <w:between w:val="nil"/>
              </w:pBdr>
              <w:rPr>
                <w:rFonts w:asciiTheme="majorHAnsi" w:hAnsiTheme="majorHAnsi" w:cstheme="majorHAnsi"/>
              </w:rPr>
            </w:pPr>
          </w:p>
        </w:tc>
        <w:tc>
          <w:tcPr>
            <w:tcW w:w="1620" w:type="dxa"/>
          </w:tcPr>
          <w:p w14:paraId="58F2502A" w14:textId="77777777" w:rsidR="006516AA" w:rsidRPr="001149E1" w:rsidRDefault="006516AA" w:rsidP="007C44A2">
            <w:pPr>
              <w:spacing w:before="240" w:after="240"/>
              <w:rPr>
                <w:rFonts w:asciiTheme="majorHAnsi" w:hAnsiTheme="majorHAnsi" w:cstheme="majorHAnsi"/>
              </w:rPr>
            </w:pPr>
          </w:p>
        </w:tc>
        <w:tc>
          <w:tcPr>
            <w:tcW w:w="4500" w:type="dxa"/>
          </w:tcPr>
          <w:p w14:paraId="62FA2FDA" w14:textId="77777777" w:rsidR="006516AA" w:rsidRPr="001149E1" w:rsidRDefault="006516AA" w:rsidP="007C44A2">
            <w:pPr>
              <w:rPr>
                <w:rFonts w:asciiTheme="majorHAnsi" w:hAnsiTheme="majorHAnsi" w:cstheme="majorHAnsi"/>
              </w:rPr>
            </w:pPr>
          </w:p>
        </w:tc>
      </w:tr>
      <w:tr w:rsidR="006516AA" w:rsidRPr="009F1B7D" w14:paraId="6F8FF058" w14:textId="77777777" w:rsidTr="007C44A2">
        <w:tc>
          <w:tcPr>
            <w:tcW w:w="3775" w:type="dxa"/>
          </w:tcPr>
          <w:p w14:paraId="4748DEE5" w14:textId="74AB88F8" w:rsidR="006516AA" w:rsidRPr="001149E1" w:rsidRDefault="006516AA" w:rsidP="00F77F78">
            <w:pPr>
              <w:rPr>
                <w:rFonts w:asciiTheme="majorHAnsi" w:hAnsiTheme="majorHAnsi" w:cstheme="majorHAnsi"/>
              </w:rPr>
            </w:pPr>
            <w:r w:rsidRPr="001149E1">
              <w:rPr>
                <w:rFonts w:asciiTheme="majorHAnsi" w:hAnsiTheme="majorHAnsi" w:cstheme="majorHAnsi"/>
              </w:rPr>
              <w:t>(</w:t>
            </w:r>
            <w:proofErr w:type="spellStart"/>
            <w:r w:rsidRPr="001149E1">
              <w:rPr>
                <w:rFonts w:asciiTheme="majorHAnsi" w:hAnsiTheme="majorHAnsi" w:cstheme="majorHAnsi"/>
              </w:rPr>
              <w:t>i</w:t>
            </w:r>
            <w:proofErr w:type="spellEnd"/>
            <w:r w:rsidRPr="001149E1">
              <w:rPr>
                <w:rFonts w:asciiTheme="majorHAnsi" w:hAnsiTheme="majorHAnsi" w:cstheme="majorHAnsi"/>
              </w:rPr>
              <w:t xml:space="preserve">) Procurement performance in implemented projects is monitored at periodic intervals, and there are processes in place requiring a response when issues are uncovered. </w:t>
            </w:r>
          </w:p>
        </w:tc>
        <w:tc>
          <w:tcPr>
            <w:tcW w:w="4950" w:type="dxa"/>
          </w:tcPr>
          <w:p w14:paraId="519BD347" w14:textId="77777777" w:rsidR="006516AA" w:rsidRPr="001149E1" w:rsidRDefault="006516AA" w:rsidP="007C44A2">
            <w:pPr>
              <w:rPr>
                <w:rFonts w:asciiTheme="majorHAnsi" w:hAnsiTheme="majorHAnsi" w:cstheme="majorHAnsi"/>
              </w:rPr>
            </w:pPr>
          </w:p>
        </w:tc>
        <w:tc>
          <w:tcPr>
            <w:tcW w:w="2520" w:type="dxa"/>
          </w:tcPr>
          <w:p w14:paraId="62052DB2" w14:textId="77777777" w:rsidR="006516AA" w:rsidRPr="001149E1" w:rsidRDefault="006516AA" w:rsidP="007C44A2">
            <w:pPr>
              <w:pBdr>
                <w:top w:val="nil"/>
                <w:left w:val="nil"/>
                <w:bottom w:val="nil"/>
                <w:right w:val="nil"/>
                <w:between w:val="nil"/>
              </w:pBdr>
              <w:rPr>
                <w:rFonts w:asciiTheme="majorHAnsi" w:hAnsiTheme="majorHAnsi" w:cstheme="majorHAnsi"/>
              </w:rPr>
            </w:pPr>
          </w:p>
        </w:tc>
        <w:tc>
          <w:tcPr>
            <w:tcW w:w="1620" w:type="dxa"/>
          </w:tcPr>
          <w:p w14:paraId="7BB6FCDF" w14:textId="77777777" w:rsidR="006516AA" w:rsidRPr="001149E1" w:rsidRDefault="006516AA" w:rsidP="007C44A2">
            <w:pPr>
              <w:rPr>
                <w:rFonts w:asciiTheme="majorHAnsi" w:hAnsiTheme="majorHAnsi" w:cstheme="majorHAnsi"/>
              </w:rPr>
            </w:pPr>
          </w:p>
          <w:p w14:paraId="360FF6D7" w14:textId="77777777" w:rsidR="006516AA" w:rsidRPr="001149E1" w:rsidRDefault="006516AA" w:rsidP="007C44A2">
            <w:pPr>
              <w:rPr>
                <w:rFonts w:asciiTheme="majorHAnsi" w:hAnsiTheme="majorHAnsi" w:cstheme="majorHAnsi"/>
              </w:rPr>
            </w:pPr>
          </w:p>
        </w:tc>
        <w:tc>
          <w:tcPr>
            <w:tcW w:w="4500" w:type="dxa"/>
          </w:tcPr>
          <w:p w14:paraId="1D7D6B74" w14:textId="77777777" w:rsidR="006516AA" w:rsidRPr="001149E1" w:rsidRDefault="006516AA" w:rsidP="007C44A2">
            <w:pPr>
              <w:rPr>
                <w:rFonts w:asciiTheme="majorHAnsi" w:hAnsiTheme="majorHAnsi" w:cstheme="majorHAnsi"/>
              </w:rPr>
            </w:pPr>
          </w:p>
        </w:tc>
      </w:tr>
      <w:tr w:rsidR="006516AA" w:rsidRPr="00F77F78" w14:paraId="559CE003" w14:textId="77777777" w:rsidTr="007C44A2">
        <w:tc>
          <w:tcPr>
            <w:tcW w:w="3775" w:type="dxa"/>
          </w:tcPr>
          <w:p w14:paraId="00044A72" w14:textId="77777777" w:rsidR="006516AA" w:rsidRPr="00F77F78" w:rsidRDefault="006516AA" w:rsidP="007C44A2">
            <w:pPr>
              <w:rPr>
                <w:rFonts w:asciiTheme="majorHAnsi" w:hAnsiTheme="majorHAnsi" w:cstheme="majorHAnsi"/>
              </w:rPr>
            </w:pPr>
            <w:r w:rsidRPr="00F77F78">
              <w:rPr>
                <w:rFonts w:asciiTheme="majorHAnsi" w:hAnsiTheme="majorHAnsi" w:cstheme="majorHAnsi"/>
              </w:rPr>
              <w:t xml:space="preserve">(j) </w:t>
            </w:r>
            <w:r w:rsidRPr="00F77F78">
              <w:rPr>
                <w:rFonts w:asciiTheme="majorHAnsi" w:hAnsiTheme="majorHAnsi" w:cstheme="majorHAnsi"/>
                <w:color w:val="000000"/>
                <w:spacing w:val="1"/>
              </w:rPr>
              <w:t xml:space="preserve">Establishment of a control system for equipment purchases to ensure adequate </w:t>
            </w:r>
            <w:r w:rsidRPr="00F77F78">
              <w:rPr>
                <w:rFonts w:asciiTheme="majorHAnsi" w:hAnsiTheme="majorHAnsi" w:cstheme="majorHAnsi"/>
                <w:color w:val="000000"/>
              </w:rPr>
              <w:t>safeguards to prevent loss, damage, or theft of the Property, including that appropriate insurance must be maintained, and any loss, damage, or theft is investigated and fully documented</w:t>
            </w:r>
          </w:p>
        </w:tc>
        <w:tc>
          <w:tcPr>
            <w:tcW w:w="4950" w:type="dxa"/>
          </w:tcPr>
          <w:p w14:paraId="3FA8AF3C" w14:textId="77777777" w:rsidR="006516AA" w:rsidRPr="00F77F78" w:rsidRDefault="006516AA" w:rsidP="007C44A2">
            <w:pPr>
              <w:rPr>
                <w:rFonts w:asciiTheme="majorHAnsi" w:hAnsiTheme="majorHAnsi" w:cstheme="majorHAnsi"/>
              </w:rPr>
            </w:pPr>
          </w:p>
        </w:tc>
        <w:tc>
          <w:tcPr>
            <w:tcW w:w="2520" w:type="dxa"/>
          </w:tcPr>
          <w:p w14:paraId="45577700" w14:textId="77777777" w:rsidR="006516AA" w:rsidRPr="00F77F78" w:rsidRDefault="006516AA" w:rsidP="007C44A2">
            <w:pPr>
              <w:pBdr>
                <w:top w:val="nil"/>
                <w:left w:val="nil"/>
                <w:bottom w:val="nil"/>
                <w:right w:val="nil"/>
                <w:between w:val="nil"/>
              </w:pBdr>
              <w:rPr>
                <w:rFonts w:asciiTheme="majorHAnsi" w:hAnsiTheme="majorHAnsi" w:cstheme="majorHAnsi"/>
              </w:rPr>
            </w:pPr>
          </w:p>
        </w:tc>
        <w:tc>
          <w:tcPr>
            <w:tcW w:w="1620" w:type="dxa"/>
          </w:tcPr>
          <w:p w14:paraId="477D1969" w14:textId="77777777" w:rsidR="006516AA" w:rsidRPr="00F77F78" w:rsidRDefault="006516AA" w:rsidP="007C44A2">
            <w:pPr>
              <w:rPr>
                <w:rFonts w:asciiTheme="majorHAnsi" w:hAnsiTheme="majorHAnsi" w:cstheme="majorHAnsi"/>
              </w:rPr>
            </w:pPr>
          </w:p>
        </w:tc>
        <w:tc>
          <w:tcPr>
            <w:tcW w:w="4500" w:type="dxa"/>
          </w:tcPr>
          <w:p w14:paraId="2544A5E4" w14:textId="77777777" w:rsidR="006516AA" w:rsidRPr="00F77F78" w:rsidRDefault="006516AA" w:rsidP="007C44A2">
            <w:pPr>
              <w:rPr>
                <w:rFonts w:asciiTheme="majorHAnsi" w:hAnsiTheme="majorHAnsi" w:cstheme="majorHAnsi"/>
              </w:rPr>
            </w:pPr>
          </w:p>
        </w:tc>
      </w:tr>
      <w:tr w:rsidR="006516AA" w:rsidRPr="00F77F78" w14:paraId="54385C7F" w14:textId="77777777" w:rsidTr="007C44A2">
        <w:tc>
          <w:tcPr>
            <w:tcW w:w="3775" w:type="dxa"/>
          </w:tcPr>
          <w:p w14:paraId="7E4AB82A" w14:textId="77777777" w:rsidR="006516AA" w:rsidRPr="00F77F78" w:rsidRDefault="006516AA" w:rsidP="007C44A2">
            <w:pPr>
              <w:tabs>
                <w:tab w:val="left" w:pos="0"/>
              </w:tabs>
              <w:spacing w:before="10" w:line="266" w:lineRule="exact"/>
              <w:ind w:firstLine="14"/>
              <w:rPr>
                <w:rFonts w:asciiTheme="majorHAnsi" w:hAnsiTheme="majorHAnsi" w:cstheme="majorHAnsi"/>
                <w:color w:val="000000"/>
                <w:spacing w:val="1"/>
              </w:rPr>
            </w:pPr>
            <w:r w:rsidRPr="00F77F78">
              <w:rPr>
                <w:rFonts w:asciiTheme="majorHAnsi" w:hAnsiTheme="majorHAnsi" w:cstheme="majorHAnsi"/>
                <w:color w:val="000000"/>
                <w:spacing w:val="1"/>
              </w:rPr>
              <w:t xml:space="preserve">(k) Standards of Conduct are maintained that provide for disciplinary actions for </w:t>
            </w:r>
            <w:proofErr w:type="gramStart"/>
            <w:r w:rsidRPr="00F77F78">
              <w:rPr>
                <w:rFonts w:asciiTheme="majorHAnsi" w:hAnsiTheme="majorHAnsi" w:cstheme="majorHAnsi"/>
                <w:color w:val="000000"/>
                <w:spacing w:val="1"/>
              </w:rPr>
              <w:t>conflict of interest</w:t>
            </w:r>
            <w:proofErr w:type="gramEnd"/>
            <w:r w:rsidRPr="00F77F78">
              <w:rPr>
                <w:rFonts w:asciiTheme="majorHAnsi" w:hAnsiTheme="majorHAnsi" w:cstheme="majorHAnsi"/>
                <w:color w:val="000000"/>
                <w:spacing w:val="1"/>
              </w:rPr>
              <w:t xml:space="preserve"> violations by officers, employees, or agents of the Grantee as follows:</w:t>
            </w:r>
          </w:p>
          <w:p w14:paraId="138824BD" w14:textId="77777777" w:rsidR="006516AA" w:rsidRPr="00F77F78" w:rsidRDefault="006516AA" w:rsidP="006516AA">
            <w:pPr>
              <w:pStyle w:val="ListParagraph"/>
              <w:numPr>
                <w:ilvl w:val="0"/>
                <w:numId w:val="9"/>
              </w:numPr>
              <w:tabs>
                <w:tab w:val="left" w:pos="8237"/>
              </w:tabs>
              <w:spacing w:before="10" w:after="0" w:line="266" w:lineRule="exact"/>
              <w:rPr>
                <w:rFonts w:asciiTheme="majorHAnsi" w:hAnsiTheme="majorHAnsi" w:cstheme="majorHAnsi"/>
                <w:color w:val="000000"/>
              </w:rPr>
            </w:pPr>
            <w:r w:rsidRPr="00F77F78">
              <w:rPr>
                <w:rFonts w:asciiTheme="majorHAnsi" w:hAnsiTheme="majorHAnsi" w:cstheme="majorHAnsi"/>
                <w:color w:val="000000"/>
              </w:rPr>
              <w:t>The Grantee must ensure that competitions are not biased in favor of one</w:t>
            </w:r>
            <w:r w:rsidRPr="00F77F78">
              <w:rPr>
                <w:rFonts w:asciiTheme="majorHAnsi" w:hAnsiTheme="majorHAnsi" w:cstheme="majorHAnsi"/>
              </w:rPr>
              <w:t xml:space="preserve"> </w:t>
            </w:r>
            <w:r w:rsidRPr="00F77F78">
              <w:rPr>
                <w:rFonts w:asciiTheme="majorHAnsi" w:hAnsiTheme="majorHAnsi" w:cstheme="majorHAnsi"/>
                <w:color w:val="000000"/>
              </w:rPr>
              <w:t>offeror over another.</w:t>
            </w:r>
          </w:p>
          <w:p w14:paraId="68F61557" w14:textId="77777777" w:rsidR="006516AA" w:rsidRPr="00F77F78" w:rsidRDefault="006516AA" w:rsidP="006516AA">
            <w:pPr>
              <w:pStyle w:val="ListParagraph"/>
              <w:numPr>
                <w:ilvl w:val="0"/>
                <w:numId w:val="9"/>
              </w:numPr>
              <w:tabs>
                <w:tab w:val="left" w:pos="8237"/>
              </w:tabs>
              <w:spacing w:before="10" w:after="0" w:line="266" w:lineRule="exact"/>
              <w:rPr>
                <w:rFonts w:asciiTheme="majorHAnsi" w:hAnsiTheme="majorHAnsi" w:cstheme="majorHAnsi"/>
                <w:color w:val="000000"/>
              </w:rPr>
            </w:pPr>
            <w:r w:rsidRPr="00F77F78">
              <w:rPr>
                <w:rFonts w:asciiTheme="majorHAnsi" w:hAnsiTheme="majorHAnsi" w:cstheme="majorHAnsi"/>
                <w:color w:val="000000"/>
              </w:rPr>
              <w:t xml:space="preserve">The officers, employees, and agents of the Grantee must neither solicit nor accept </w:t>
            </w:r>
            <w:r w:rsidRPr="00F77F78">
              <w:rPr>
                <w:rFonts w:asciiTheme="majorHAnsi" w:hAnsiTheme="majorHAnsi" w:cstheme="majorHAnsi"/>
                <w:color w:val="000000"/>
              </w:rPr>
              <w:lastRenderedPageBreak/>
              <w:t xml:space="preserve">gratuities, favors, or anything of monetary value from contractors or parties to </w:t>
            </w:r>
            <w:proofErr w:type="spellStart"/>
            <w:r w:rsidRPr="00F77F78">
              <w:rPr>
                <w:rFonts w:asciiTheme="majorHAnsi" w:hAnsiTheme="majorHAnsi" w:cstheme="majorHAnsi"/>
                <w:color w:val="000000"/>
              </w:rPr>
              <w:t>subagreements</w:t>
            </w:r>
            <w:proofErr w:type="spellEnd"/>
            <w:r w:rsidRPr="00F77F78">
              <w:rPr>
                <w:rFonts w:asciiTheme="majorHAnsi" w:hAnsiTheme="majorHAnsi" w:cstheme="majorHAnsi"/>
                <w:color w:val="000000"/>
              </w:rPr>
              <w:t>.</w:t>
            </w:r>
          </w:p>
          <w:p w14:paraId="0DDD705B" w14:textId="06080420" w:rsidR="006516AA" w:rsidRPr="00F77F78" w:rsidRDefault="006516AA" w:rsidP="006516AA">
            <w:pPr>
              <w:pStyle w:val="ListParagraph"/>
              <w:numPr>
                <w:ilvl w:val="0"/>
                <w:numId w:val="9"/>
              </w:numPr>
              <w:tabs>
                <w:tab w:val="left" w:pos="8237"/>
              </w:tabs>
              <w:spacing w:before="10" w:after="0" w:line="266" w:lineRule="exact"/>
              <w:rPr>
                <w:rFonts w:asciiTheme="majorHAnsi" w:hAnsiTheme="majorHAnsi" w:cstheme="majorHAnsi"/>
              </w:rPr>
            </w:pPr>
            <w:r w:rsidRPr="00F77F78">
              <w:rPr>
                <w:rFonts w:asciiTheme="majorHAnsi" w:hAnsiTheme="majorHAnsi" w:cstheme="majorHAnsi"/>
                <w:color w:val="000000"/>
              </w:rPr>
              <w:t>A contractor that develops or drafts specifications, requirements, statements of work, invitations for bids, and/or requests for proposals must be excluded from competing for such procurements.</w:t>
            </w:r>
          </w:p>
        </w:tc>
        <w:tc>
          <w:tcPr>
            <w:tcW w:w="4950" w:type="dxa"/>
          </w:tcPr>
          <w:p w14:paraId="032C0950" w14:textId="77777777" w:rsidR="006516AA" w:rsidRPr="00F77F78" w:rsidRDefault="006516AA" w:rsidP="007C44A2">
            <w:pPr>
              <w:rPr>
                <w:rFonts w:asciiTheme="majorHAnsi" w:hAnsiTheme="majorHAnsi" w:cstheme="majorHAnsi"/>
              </w:rPr>
            </w:pPr>
          </w:p>
        </w:tc>
        <w:tc>
          <w:tcPr>
            <w:tcW w:w="2520" w:type="dxa"/>
          </w:tcPr>
          <w:p w14:paraId="4B6DE2A8" w14:textId="77777777" w:rsidR="006516AA" w:rsidRPr="00F77F78" w:rsidRDefault="006516AA" w:rsidP="007C44A2">
            <w:pPr>
              <w:pBdr>
                <w:top w:val="nil"/>
                <w:left w:val="nil"/>
                <w:bottom w:val="nil"/>
                <w:right w:val="nil"/>
                <w:between w:val="nil"/>
              </w:pBdr>
              <w:rPr>
                <w:rFonts w:asciiTheme="majorHAnsi" w:hAnsiTheme="majorHAnsi" w:cstheme="majorHAnsi"/>
              </w:rPr>
            </w:pPr>
          </w:p>
        </w:tc>
        <w:tc>
          <w:tcPr>
            <w:tcW w:w="1620" w:type="dxa"/>
          </w:tcPr>
          <w:p w14:paraId="519D2165" w14:textId="77777777" w:rsidR="006516AA" w:rsidRPr="00F77F78" w:rsidRDefault="006516AA" w:rsidP="007C44A2">
            <w:pPr>
              <w:rPr>
                <w:rFonts w:asciiTheme="majorHAnsi" w:hAnsiTheme="majorHAnsi" w:cstheme="majorHAnsi"/>
              </w:rPr>
            </w:pPr>
          </w:p>
        </w:tc>
        <w:tc>
          <w:tcPr>
            <w:tcW w:w="4500" w:type="dxa"/>
          </w:tcPr>
          <w:p w14:paraId="141712C9" w14:textId="77777777" w:rsidR="006516AA" w:rsidRPr="00F77F78" w:rsidRDefault="006516AA" w:rsidP="007C44A2">
            <w:pPr>
              <w:rPr>
                <w:rFonts w:asciiTheme="majorHAnsi" w:hAnsiTheme="majorHAnsi" w:cstheme="majorHAnsi"/>
              </w:rPr>
            </w:pPr>
          </w:p>
        </w:tc>
      </w:tr>
      <w:tr w:rsidR="006516AA" w:rsidRPr="00F77F78" w14:paraId="727640A5" w14:textId="77777777" w:rsidTr="007C44A2">
        <w:tc>
          <w:tcPr>
            <w:tcW w:w="3775" w:type="dxa"/>
          </w:tcPr>
          <w:p w14:paraId="114145D0" w14:textId="77777777" w:rsidR="006516AA" w:rsidRPr="00F77F78" w:rsidRDefault="006516AA" w:rsidP="007C44A2">
            <w:pPr>
              <w:tabs>
                <w:tab w:val="left" w:pos="0"/>
              </w:tabs>
              <w:spacing w:before="10" w:line="266" w:lineRule="exact"/>
              <w:ind w:firstLine="14"/>
              <w:rPr>
                <w:rFonts w:asciiTheme="majorHAnsi" w:hAnsiTheme="majorHAnsi" w:cstheme="majorHAnsi"/>
                <w:color w:val="000000"/>
                <w:spacing w:val="1"/>
              </w:rPr>
            </w:pPr>
            <w:r w:rsidRPr="00F77F78">
              <w:rPr>
                <w:rFonts w:asciiTheme="majorHAnsi" w:hAnsiTheme="majorHAnsi" w:cstheme="majorHAnsi"/>
                <w:color w:val="000000"/>
                <w:spacing w:val="1"/>
              </w:rPr>
              <w:t>(l)  Maintenance of procurement records, including basis for contractor selection, justification for lack of competition when competitive bids or offers are not obtained, and basis for award cost or price.</w:t>
            </w:r>
          </w:p>
        </w:tc>
        <w:tc>
          <w:tcPr>
            <w:tcW w:w="4950" w:type="dxa"/>
          </w:tcPr>
          <w:p w14:paraId="101FEF98" w14:textId="77777777" w:rsidR="006516AA" w:rsidRPr="00F77F78" w:rsidRDefault="006516AA" w:rsidP="007C44A2">
            <w:pPr>
              <w:rPr>
                <w:rFonts w:asciiTheme="majorHAnsi" w:hAnsiTheme="majorHAnsi" w:cstheme="majorHAnsi"/>
              </w:rPr>
            </w:pPr>
          </w:p>
        </w:tc>
        <w:tc>
          <w:tcPr>
            <w:tcW w:w="2520" w:type="dxa"/>
          </w:tcPr>
          <w:p w14:paraId="34374215" w14:textId="77777777" w:rsidR="006516AA" w:rsidRPr="00F77F78" w:rsidRDefault="006516AA" w:rsidP="007C44A2">
            <w:pPr>
              <w:pBdr>
                <w:top w:val="nil"/>
                <w:left w:val="nil"/>
                <w:bottom w:val="nil"/>
                <w:right w:val="nil"/>
                <w:between w:val="nil"/>
              </w:pBdr>
              <w:rPr>
                <w:rFonts w:asciiTheme="majorHAnsi" w:hAnsiTheme="majorHAnsi" w:cstheme="majorHAnsi"/>
              </w:rPr>
            </w:pPr>
          </w:p>
        </w:tc>
        <w:tc>
          <w:tcPr>
            <w:tcW w:w="1620" w:type="dxa"/>
          </w:tcPr>
          <w:p w14:paraId="46EEEB62" w14:textId="77777777" w:rsidR="006516AA" w:rsidRPr="00F77F78" w:rsidRDefault="006516AA" w:rsidP="007C44A2">
            <w:pPr>
              <w:rPr>
                <w:rFonts w:asciiTheme="majorHAnsi" w:hAnsiTheme="majorHAnsi" w:cstheme="majorHAnsi"/>
              </w:rPr>
            </w:pPr>
          </w:p>
        </w:tc>
        <w:tc>
          <w:tcPr>
            <w:tcW w:w="4500" w:type="dxa"/>
          </w:tcPr>
          <w:p w14:paraId="56C8DA94" w14:textId="77777777" w:rsidR="006516AA" w:rsidRPr="00F77F78" w:rsidRDefault="006516AA" w:rsidP="007C44A2">
            <w:pPr>
              <w:rPr>
                <w:rFonts w:asciiTheme="majorHAnsi" w:hAnsiTheme="majorHAnsi" w:cstheme="majorHAnsi"/>
              </w:rPr>
            </w:pPr>
          </w:p>
        </w:tc>
      </w:tr>
      <w:tr w:rsidR="006516AA" w:rsidRPr="00F77F78" w14:paraId="67DEFAAE" w14:textId="77777777" w:rsidTr="007C44A2">
        <w:tc>
          <w:tcPr>
            <w:tcW w:w="3775" w:type="dxa"/>
          </w:tcPr>
          <w:p w14:paraId="3D9AF4D3" w14:textId="77777777" w:rsidR="006516AA" w:rsidRPr="00F77F78" w:rsidRDefault="006516AA" w:rsidP="007C44A2">
            <w:pPr>
              <w:tabs>
                <w:tab w:val="left" w:pos="0"/>
              </w:tabs>
              <w:spacing w:before="10" w:line="266" w:lineRule="exact"/>
              <w:ind w:firstLine="14"/>
              <w:rPr>
                <w:rFonts w:asciiTheme="majorHAnsi" w:hAnsiTheme="majorHAnsi" w:cstheme="majorHAnsi"/>
                <w:color w:val="000000"/>
                <w:spacing w:val="1"/>
              </w:rPr>
            </w:pPr>
            <w:r w:rsidRPr="00F77F78">
              <w:rPr>
                <w:rFonts w:asciiTheme="majorHAnsi" w:hAnsiTheme="majorHAnsi" w:cstheme="majorHAnsi"/>
                <w:color w:val="000000"/>
                <w:spacing w:val="1"/>
              </w:rPr>
              <w:t xml:space="preserve">(m) Establishment of a monitoring system to ensure that goods and services are </w:t>
            </w:r>
            <w:r w:rsidRPr="00F77F78">
              <w:rPr>
                <w:rFonts w:asciiTheme="majorHAnsi" w:hAnsiTheme="majorHAnsi" w:cstheme="majorHAnsi"/>
                <w:color w:val="000000"/>
              </w:rPr>
              <w:t>provided in accordance with the terms, conditions, and specifications of the contract, including full and timely delivery and performance</w:t>
            </w:r>
          </w:p>
        </w:tc>
        <w:tc>
          <w:tcPr>
            <w:tcW w:w="4950" w:type="dxa"/>
          </w:tcPr>
          <w:p w14:paraId="7CAF184B" w14:textId="77777777" w:rsidR="006516AA" w:rsidRPr="00F77F78" w:rsidRDefault="006516AA" w:rsidP="007C44A2">
            <w:pPr>
              <w:rPr>
                <w:rFonts w:asciiTheme="majorHAnsi" w:hAnsiTheme="majorHAnsi" w:cstheme="majorHAnsi"/>
              </w:rPr>
            </w:pPr>
          </w:p>
        </w:tc>
        <w:tc>
          <w:tcPr>
            <w:tcW w:w="2520" w:type="dxa"/>
          </w:tcPr>
          <w:p w14:paraId="6443E6B0" w14:textId="77777777" w:rsidR="006516AA" w:rsidRPr="00F77F78" w:rsidRDefault="006516AA" w:rsidP="007C44A2">
            <w:pPr>
              <w:pBdr>
                <w:top w:val="nil"/>
                <w:left w:val="nil"/>
                <w:bottom w:val="nil"/>
                <w:right w:val="nil"/>
                <w:between w:val="nil"/>
              </w:pBdr>
              <w:rPr>
                <w:rFonts w:asciiTheme="majorHAnsi" w:hAnsiTheme="majorHAnsi" w:cstheme="majorHAnsi"/>
              </w:rPr>
            </w:pPr>
          </w:p>
        </w:tc>
        <w:tc>
          <w:tcPr>
            <w:tcW w:w="1620" w:type="dxa"/>
          </w:tcPr>
          <w:p w14:paraId="1BF5C814" w14:textId="77777777" w:rsidR="006516AA" w:rsidRPr="00F77F78" w:rsidRDefault="006516AA" w:rsidP="007C44A2">
            <w:pPr>
              <w:rPr>
                <w:rFonts w:asciiTheme="majorHAnsi" w:hAnsiTheme="majorHAnsi" w:cstheme="majorHAnsi"/>
              </w:rPr>
            </w:pPr>
          </w:p>
        </w:tc>
        <w:tc>
          <w:tcPr>
            <w:tcW w:w="4500" w:type="dxa"/>
          </w:tcPr>
          <w:p w14:paraId="3F096E73" w14:textId="77777777" w:rsidR="006516AA" w:rsidRPr="00F77F78" w:rsidRDefault="006516AA" w:rsidP="007C44A2">
            <w:pPr>
              <w:rPr>
                <w:rFonts w:asciiTheme="majorHAnsi" w:hAnsiTheme="majorHAnsi" w:cstheme="majorHAnsi"/>
              </w:rPr>
            </w:pPr>
          </w:p>
        </w:tc>
      </w:tr>
    </w:tbl>
    <w:p w14:paraId="7043DB4C" w14:textId="77777777" w:rsidR="006516AA" w:rsidRPr="00F77F78" w:rsidRDefault="006516AA" w:rsidP="006516AA">
      <w:pPr>
        <w:rPr>
          <w:rFonts w:asciiTheme="majorHAnsi" w:hAnsiTheme="majorHAnsi" w:cstheme="majorHAnsi"/>
        </w:rPr>
      </w:pPr>
    </w:p>
    <w:p w14:paraId="53F6692A" w14:textId="7A514BB6" w:rsidR="0045394C" w:rsidRPr="00F77F78" w:rsidRDefault="0045394C" w:rsidP="0045394C">
      <w:pPr>
        <w:rPr>
          <w:rFonts w:asciiTheme="majorHAnsi" w:hAnsiTheme="majorHAnsi" w:cstheme="majorHAnsi"/>
          <w:b/>
        </w:rPr>
      </w:pPr>
    </w:p>
    <w:sectPr w:rsidR="0045394C" w:rsidRPr="00F77F78" w:rsidSect="006516AA">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20BA"/>
    <w:multiLevelType w:val="hybridMultilevel"/>
    <w:tmpl w:val="A42CC0AE"/>
    <w:lvl w:ilvl="0" w:tplc="9508BF3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C721A"/>
    <w:multiLevelType w:val="hybridMultilevel"/>
    <w:tmpl w:val="4522B0CA"/>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7E1527E"/>
    <w:multiLevelType w:val="hybridMultilevel"/>
    <w:tmpl w:val="52C48768"/>
    <w:lvl w:ilvl="0" w:tplc="AE1866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A1960"/>
    <w:multiLevelType w:val="multilevel"/>
    <w:tmpl w:val="7FA2F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7C4550"/>
    <w:multiLevelType w:val="hybridMultilevel"/>
    <w:tmpl w:val="11181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B02BC"/>
    <w:multiLevelType w:val="multilevel"/>
    <w:tmpl w:val="28D005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B4921"/>
    <w:multiLevelType w:val="hybridMultilevel"/>
    <w:tmpl w:val="3FEC8CDE"/>
    <w:lvl w:ilvl="0" w:tplc="EB442274">
      <w:start w:val="7"/>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6D1D4A97"/>
    <w:multiLevelType w:val="hybridMultilevel"/>
    <w:tmpl w:val="7DD023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7595176D"/>
    <w:multiLevelType w:val="multilevel"/>
    <w:tmpl w:val="E860647C"/>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CB"/>
    <w:rsid w:val="000055E4"/>
    <w:rsid w:val="00010B11"/>
    <w:rsid w:val="000129F7"/>
    <w:rsid w:val="00014EF4"/>
    <w:rsid w:val="00015C82"/>
    <w:rsid w:val="00015F4D"/>
    <w:rsid w:val="00016E4A"/>
    <w:rsid w:val="00017777"/>
    <w:rsid w:val="000178E4"/>
    <w:rsid w:val="00024117"/>
    <w:rsid w:val="000244AC"/>
    <w:rsid w:val="000261A0"/>
    <w:rsid w:val="000272A7"/>
    <w:rsid w:val="00031F20"/>
    <w:rsid w:val="0003264A"/>
    <w:rsid w:val="00033E38"/>
    <w:rsid w:val="000360F9"/>
    <w:rsid w:val="00040F1F"/>
    <w:rsid w:val="00043376"/>
    <w:rsid w:val="000433AF"/>
    <w:rsid w:val="00045586"/>
    <w:rsid w:val="000506C8"/>
    <w:rsid w:val="000508E9"/>
    <w:rsid w:val="00051EEF"/>
    <w:rsid w:val="00052451"/>
    <w:rsid w:val="00052641"/>
    <w:rsid w:val="000529C5"/>
    <w:rsid w:val="00053B24"/>
    <w:rsid w:val="00053E8C"/>
    <w:rsid w:val="000542FC"/>
    <w:rsid w:val="00056C5F"/>
    <w:rsid w:val="000579B0"/>
    <w:rsid w:val="00063372"/>
    <w:rsid w:val="00064DD4"/>
    <w:rsid w:val="00071BEA"/>
    <w:rsid w:val="00075D01"/>
    <w:rsid w:val="00075F69"/>
    <w:rsid w:val="0007655D"/>
    <w:rsid w:val="00077D79"/>
    <w:rsid w:val="00080215"/>
    <w:rsid w:val="00080B2B"/>
    <w:rsid w:val="0008125C"/>
    <w:rsid w:val="00084BF4"/>
    <w:rsid w:val="000851A9"/>
    <w:rsid w:val="000867CA"/>
    <w:rsid w:val="000870B8"/>
    <w:rsid w:val="000875C7"/>
    <w:rsid w:val="000877F1"/>
    <w:rsid w:val="00087A05"/>
    <w:rsid w:val="0009080E"/>
    <w:rsid w:val="00093249"/>
    <w:rsid w:val="00093905"/>
    <w:rsid w:val="00094D62"/>
    <w:rsid w:val="000A0080"/>
    <w:rsid w:val="000A05E8"/>
    <w:rsid w:val="000A05FF"/>
    <w:rsid w:val="000A0858"/>
    <w:rsid w:val="000A1983"/>
    <w:rsid w:val="000A2102"/>
    <w:rsid w:val="000A2AAE"/>
    <w:rsid w:val="000A47E1"/>
    <w:rsid w:val="000A660A"/>
    <w:rsid w:val="000A7E9E"/>
    <w:rsid w:val="000B0356"/>
    <w:rsid w:val="000B0C7B"/>
    <w:rsid w:val="000B3252"/>
    <w:rsid w:val="000B4C90"/>
    <w:rsid w:val="000B595E"/>
    <w:rsid w:val="000C066F"/>
    <w:rsid w:val="000C08C6"/>
    <w:rsid w:val="000C35F7"/>
    <w:rsid w:val="000C3985"/>
    <w:rsid w:val="000C5912"/>
    <w:rsid w:val="000C6DD6"/>
    <w:rsid w:val="000C71B4"/>
    <w:rsid w:val="000D013B"/>
    <w:rsid w:val="000D0717"/>
    <w:rsid w:val="000D18F9"/>
    <w:rsid w:val="000D26CF"/>
    <w:rsid w:val="000D4705"/>
    <w:rsid w:val="000D4BB7"/>
    <w:rsid w:val="000D5860"/>
    <w:rsid w:val="000E12BC"/>
    <w:rsid w:val="000E3983"/>
    <w:rsid w:val="000E4EE7"/>
    <w:rsid w:val="000E7426"/>
    <w:rsid w:val="000E7DAD"/>
    <w:rsid w:val="000F26E3"/>
    <w:rsid w:val="000F2E65"/>
    <w:rsid w:val="000F4FCC"/>
    <w:rsid w:val="00100AE6"/>
    <w:rsid w:val="00101314"/>
    <w:rsid w:val="00101A79"/>
    <w:rsid w:val="001021E7"/>
    <w:rsid w:val="001049A7"/>
    <w:rsid w:val="0010614C"/>
    <w:rsid w:val="00107C5E"/>
    <w:rsid w:val="001113B2"/>
    <w:rsid w:val="00111FDF"/>
    <w:rsid w:val="00112BEE"/>
    <w:rsid w:val="0011618B"/>
    <w:rsid w:val="00117A47"/>
    <w:rsid w:val="00117B39"/>
    <w:rsid w:val="001204AE"/>
    <w:rsid w:val="00120AE3"/>
    <w:rsid w:val="0012341E"/>
    <w:rsid w:val="00123461"/>
    <w:rsid w:val="0012369A"/>
    <w:rsid w:val="00123A87"/>
    <w:rsid w:val="001244C1"/>
    <w:rsid w:val="00124BDD"/>
    <w:rsid w:val="00125212"/>
    <w:rsid w:val="00125543"/>
    <w:rsid w:val="00134748"/>
    <w:rsid w:val="00134E65"/>
    <w:rsid w:val="001360E6"/>
    <w:rsid w:val="00136B66"/>
    <w:rsid w:val="001419E0"/>
    <w:rsid w:val="00143D93"/>
    <w:rsid w:val="001466FC"/>
    <w:rsid w:val="00151532"/>
    <w:rsid w:val="00151DD9"/>
    <w:rsid w:val="00151E90"/>
    <w:rsid w:val="00152BE9"/>
    <w:rsid w:val="00153153"/>
    <w:rsid w:val="00153206"/>
    <w:rsid w:val="001564F5"/>
    <w:rsid w:val="00160170"/>
    <w:rsid w:val="001601C4"/>
    <w:rsid w:val="00160E02"/>
    <w:rsid w:val="00161BBF"/>
    <w:rsid w:val="00163255"/>
    <w:rsid w:val="00164F9F"/>
    <w:rsid w:val="00165D7C"/>
    <w:rsid w:val="00165F84"/>
    <w:rsid w:val="00167EE4"/>
    <w:rsid w:val="00171EEF"/>
    <w:rsid w:val="001756F7"/>
    <w:rsid w:val="00175808"/>
    <w:rsid w:val="001775B0"/>
    <w:rsid w:val="0017775F"/>
    <w:rsid w:val="00181CF1"/>
    <w:rsid w:val="00181E7B"/>
    <w:rsid w:val="00182C29"/>
    <w:rsid w:val="00182DC4"/>
    <w:rsid w:val="0018747F"/>
    <w:rsid w:val="00187641"/>
    <w:rsid w:val="00187A5B"/>
    <w:rsid w:val="001921A2"/>
    <w:rsid w:val="00192B2E"/>
    <w:rsid w:val="00197346"/>
    <w:rsid w:val="001A1F61"/>
    <w:rsid w:val="001A44B5"/>
    <w:rsid w:val="001A69CD"/>
    <w:rsid w:val="001A74EE"/>
    <w:rsid w:val="001A7A5C"/>
    <w:rsid w:val="001B3F76"/>
    <w:rsid w:val="001B44E8"/>
    <w:rsid w:val="001C03A1"/>
    <w:rsid w:val="001C3631"/>
    <w:rsid w:val="001C48B7"/>
    <w:rsid w:val="001C5AF5"/>
    <w:rsid w:val="001C6EE2"/>
    <w:rsid w:val="001D1E16"/>
    <w:rsid w:val="001D1E2D"/>
    <w:rsid w:val="001D4949"/>
    <w:rsid w:val="001E0767"/>
    <w:rsid w:val="001E42C7"/>
    <w:rsid w:val="001F268B"/>
    <w:rsid w:val="001F384C"/>
    <w:rsid w:val="001F5336"/>
    <w:rsid w:val="001F79CF"/>
    <w:rsid w:val="00202317"/>
    <w:rsid w:val="0020393A"/>
    <w:rsid w:val="00213866"/>
    <w:rsid w:val="0021512F"/>
    <w:rsid w:val="00215748"/>
    <w:rsid w:val="00215C30"/>
    <w:rsid w:val="00216053"/>
    <w:rsid w:val="00220464"/>
    <w:rsid w:val="002222FA"/>
    <w:rsid w:val="00225D19"/>
    <w:rsid w:val="00226646"/>
    <w:rsid w:val="00231D87"/>
    <w:rsid w:val="00232CF2"/>
    <w:rsid w:val="00236463"/>
    <w:rsid w:val="0023666B"/>
    <w:rsid w:val="00237732"/>
    <w:rsid w:val="00241F70"/>
    <w:rsid w:val="00246348"/>
    <w:rsid w:val="00250B69"/>
    <w:rsid w:val="00251323"/>
    <w:rsid w:val="002530D0"/>
    <w:rsid w:val="002556DC"/>
    <w:rsid w:val="00263666"/>
    <w:rsid w:val="00263E47"/>
    <w:rsid w:val="0027043C"/>
    <w:rsid w:val="00270567"/>
    <w:rsid w:val="002723FC"/>
    <w:rsid w:val="00276820"/>
    <w:rsid w:val="0028060D"/>
    <w:rsid w:val="00281F40"/>
    <w:rsid w:val="00281F5E"/>
    <w:rsid w:val="00283A90"/>
    <w:rsid w:val="00283ED2"/>
    <w:rsid w:val="0028632C"/>
    <w:rsid w:val="0029085F"/>
    <w:rsid w:val="00290C29"/>
    <w:rsid w:val="002944D2"/>
    <w:rsid w:val="0029486A"/>
    <w:rsid w:val="00295120"/>
    <w:rsid w:val="002A0AF1"/>
    <w:rsid w:val="002A1EF7"/>
    <w:rsid w:val="002A2F00"/>
    <w:rsid w:val="002A5855"/>
    <w:rsid w:val="002A5936"/>
    <w:rsid w:val="002A5CAE"/>
    <w:rsid w:val="002A6B3C"/>
    <w:rsid w:val="002B20D5"/>
    <w:rsid w:val="002B7024"/>
    <w:rsid w:val="002C0BF6"/>
    <w:rsid w:val="002C22D1"/>
    <w:rsid w:val="002C29C1"/>
    <w:rsid w:val="002C479A"/>
    <w:rsid w:val="002C64B4"/>
    <w:rsid w:val="002C6722"/>
    <w:rsid w:val="002D0393"/>
    <w:rsid w:val="002D0401"/>
    <w:rsid w:val="002D0792"/>
    <w:rsid w:val="002D3F6C"/>
    <w:rsid w:val="002D4B4B"/>
    <w:rsid w:val="002D4BD1"/>
    <w:rsid w:val="002D4CE6"/>
    <w:rsid w:val="002E36AE"/>
    <w:rsid w:val="002E4C5F"/>
    <w:rsid w:val="002E79B4"/>
    <w:rsid w:val="002E7B6E"/>
    <w:rsid w:val="002F05FA"/>
    <w:rsid w:val="002F274C"/>
    <w:rsid w:val="002F30E2"/>
    <w:rsid w:val="002F5740"/>
    <w:rsid w:val="002F65CB"/>
    <w:rsid w:val="003009CA"/>
    <w:rsid w:val="00300D00"/>
    <w:rsid w:val="00301214"/>
    <w:rsid w:val="003036C5"/>
    <w:rsid w:val="0030672A"/>
    <w:rsid w:val="003105A9"/>
    <w:rsid w:val="003121AD"/>
    <w:rsid w:val="003143C7"/>
    <w:rsid w:val="003158C6"/>
    <w:rsid w:val="00316025"/>
    <w:rsid w:val="00321F59"/>
    <w:rsid w:val="0032274A"/>
    <w:rsid w:val="003228C8"/>
    <w:rsid w:val="003228FA"/>
    <w:rsid w:val="00323DAB"/>
    <w:rsid w:val="00325779"/>
    <w:rsid w:val="003267B5"/>
    <w:rsid w:val="0032793F"/>
    <w:rsid w:val="00330150"/>
    <w:rsid w:val="003311CC"/>
    <w:rsid w:val="00333AC4"/>
    <w:rsid w:val="0033467F"/>
    <w:rsid w:val="003352E9"/>
    <w:rsid w:val="00336880"/>
    <w:rsid w:val="0033751C"/>
    <w:rsid w:val="00337FC8"/>
    <w:rsid w:val="00341C3A"/>
    <w:rsid w:val="00342FCB"/>
    <w:rsid w:val="0034413D"/>
    <w:rsid w:val="003462AC"/>
    <w:rsid w:val="00347424"/>
    <w:rsid w:val="00347698"/>
    <w:rsid w:val="00347865"/>
    <w:rsid w:val="00350F13"/>
    <w:rsid w:val="00352ACE"/>
    <w:rsid w:val="00353203"/>
    <w:rsid w:val="003547FE"/>
    <w:rsid w:val="00354E98"/>
    <w:rsid w:val="0035570E"/>
    <w:rsid w:val="00370660"/>
    <w:rsid w:val="00370F16"/>
    <w:rsid w:val="0037221B"/>
    <w:rsid w:val="00377221"/>
    <w:rsid w:val="003815A8"/>
    <w:rsid w:val="00382CB6"/>
    <w:rsid w:val="00385421"/>
    <w:rsid w:val="00387852"/>
    <w:rsid w:val="003915E5"/>
    <w:rsid w:val="0039489F"/>
    <w:rsid w:val="003951FA"/>
    <w:rsid w:val="0039545E"/>
    <w:rsid w:val="003967AA"/>
    <w:rsid w:val="00396B97"/>
    <w:rsid w:val="003A1258"/>
    <w:rsid w:val="003A1B98"/>
    <w:rsid w:val="003A22E1"/>
    <w:rsid w:val="003B0160"/>
    <w:rsid w:val="003B12E7"/>
    <w:rsid w:val="003B1A64"/>
    <w:rsid w:val="003B3847"/>
    <w:rsid w:val="003B5508"/>
    <w:rsid w:val="003B59CA"/>
    <w:rsid w:val="003B5F2A"/>
    <w:rsid w:val="003B6060"/>
    <w:rsid w:val="003C10B4"/>
    <w:rsid w:val="003C54D5"/>
    <w:rsid w:val="003C62B1"/>
    <w:rsid w:val="003C7058"/>
    <w:rsid w:val="003C7964"/>
    <w:rsid w:val="003D280B"/>
    <w:rsid w:val="003D3471"/>
    <w:rsid w:val="003D5024"/>
    <w:rsid w:val="003D5BC0"/>
    <w:rsid w:val="003D6708"/>
    <w:rsid w:val="003D7BEC"/>
    <w:rsid w:val="003E2668"/>
    <w:rsid w:val="003E2764"/>
    <w:rsid w:val="003E7EA6"/>
    <w:rsid w:val="003E7F8D"/>
    <w:rsid w:val="003F0E2F"/>
    <w:rsid w:val="003F1747"/>
    <w:rsid w:val="003F1FBC"/>
    <w:rsid w:val="003F4E44"/>
    <w:rsid w:val="003F5E6A"/>
    <w:rsid w:val="003F708A"/>
    <w:rsid w:val="003F7A96"/>
    <w:rsid w:val="004048BF"/>
    <w:rsid w:val="0040501E"/>
    <w:rsid w:val="00405BB0"/>
    <w:rsid w:val="00406701"/>
    <w:rsid w:val="00406D3F"/>
    <w:rsid w:val="00412BD7"/>
    <w:rsid w:val="00415434"/>
    <w:rsid w:val="00422133"/>
    <w:rsid w:val="00422F90"/>
    <w:rsid w:val="00423998"/>
    <w:rsid w:val="0042471D"/>
    <w:rsid w:val="0042503F"/>
    <w:rsid w:val="004421B3"/>
    <w:rsid w:val="0044268F"/>
    <w:rsid w:val="00443872"/>
    <w:rsid w:val="00446DB0"/>
    <w:rsid w:val="0044797F"/>
    <w:rsid w:val="00451402"/>
    <w:rsid w:val="0045160D"/>
    <w:rsid w:val="0045394C"/>
    <w:rsid w:val="00455123"/>
    <w:rsid w:val="0045713E"/>
    <w:rsid w:val="004600E2"/>
    <w:rsid w:val="00460A48"/>
    <w:rsid w:val="00461FDE"/>
    <w:rsid w:val="004631C0"/>
    <w:rsid w:val="00463853"/>
    <w:rsid w:val="004651BA"/>
    <w:rsid w:val="0046774E"/>
    <w:rsid w:val="004677D8"/>
    <w:rsid w:val="0047100F"/>
    <w:rsid w:val="00471429"/>
    <w:rsid w:val="00474069"/>
    <w:rsid w:val="004753A3"/>
    <w:rsid w:val="004758DD"/>
    <w:rsid w:val="00480743"/>
    <w:rsid w:val="00481DDD"/>
    <w:rsid w:val="0048221E"/>
    <w:rsid w:val="004836A8"/>
    <w:rsid w:val="00485AB8"/>
    <w:rsid w:val="00487445"/>
    <w:rsid w:val="00490F78"/>
    <w:rsid w:val="0049394B"/>
    <w:rsid w:val="00495826"/>
    <w:rsid w:val="004A17FC"/>
    <w:rsid w:val="004A1DE4"/>
    <w:rsid w:val="004A5793"/>
    <w:rsid w:val="004A6341"/>
    <w:rsid w:val="004A7B70"/>
    <w:rsid w:val="004B09E8"/>
    <w:rsid w:val="004B0ABA"/>
    <w:rsid w:val="004B0C46"/>
    <w:rsid w:val="004B0FB3"/>
    <w:rsid w:val="004B14CE"/>
    <w:rsid w:val="004B1F24"/>
    <w:rsid w:val="004C5C4B"/>
    <w:rsid w:val="004C7AD2"/>
    <w:rsid w:val="004D0443"/>
    <w:rsid w:val="004D5D22"/>
    <w:rsid w:val="004D7139"/>
    <w:rsid w:val="004E2670"/>
    <w:rsid w:val="004E3EAD"/>
    <w:rsid w:val="004E7164"/>
    <w:rsid w:val="004E7FF6"/>
    <w:rsid w:val="004F36A8"/>
    <w:rsid w:val="004F44DC"/>
    <w:rsid w:val="004F54DE"/>
    <w:rsid w:val="005031DA"/>
    <w:rsid w:val="00504BD4"/>
    <w:rsid w:val="00504DC7"/>
    <w:rsid w:val="00506AE0"/>
    <w:rsid w:val="00507F00"/>
    <w:rsid w:val="0051096B"/>
    <w:rsid w:val="005122D6"/>
    <w:rsid w:val="0051340A"/>
    <w:rsid w:val="0051467D"/>
    <w:rsid w:val="005154B5"/>
    <w:rsid w:val="00515C48"/>
    <w:rsid w:val="0052157E"/>
    <w:rsid w:val="00521FA6"/>
    <w:rsid w:val="005222EC"/>
    <w:rsid w:val="00522CF0"/>
    <w:rsid w:val="00523C4B"/>
    <w:rsid w:val="00525102"/>
    <w:rsid w:val="005271C0"/>
    <w:rsid w:val="005274CE"/>
    <w:rsid w:val="0052757A"/>
    <w:rsid w:val="00527FC3"/>
    <w:rsid w:val="0053280A"/>
    <w:rsid w:val="00534E2E"/>
    <w:rsid w:val="005350DA"/>
    <w:rsid w:val="0053613D"/>
    <w:rsid w:val="00537588"/>
    <w:rsid w:val="005431E2"/>
    <w:rsid w:val="00544575"/>
    <w:rsid w:val="00555DC6"/>
    <w:rsid w:val="00555F69"/>
    <w:rsid w:val="00556213"/>
    <w:rsid w:val="00556446"/>
    <w:rsid w:val="00556486"/>
    <w:rsid w:val="00557041"/>
    <w:rsid w:val="0056028E"/>
    <w:rsid w:val="005621FC"/>
    <w:rsid w:val="00563D62"/>
    <w:rsid w:val="00564617"/>
    <w:rsid w:val="0056479B"/>
    <w:rsid w:val="005649D1"/>
    <w:rsid w:val="005651F4"/>
    <w:rsid w:val="005676AB"/>
    <w:rsid w:val="00567BEB"/>
    <w:rsid w:val="00567EE2"/>
    <w:rsid w:val="0057044C"/>
    <w:rsid w:val="0057150A"/>
    <w:rsid w:val="00571DE9"/>
    <w:rsid w:val="005739F7"/>
    <w:rsid w:val="00580F35"/>
    <w:rsid w:val="00582729"/>
    <w:rsid w:val="00583471"/>
    <w:rsid w:val="005845DD"/>
    <w:rsid w:val="00586DC3"/>
    <w:rsid w:val="00587772"/>
    <w:rsid w:val="005906D2"/>
    <w:rsid w:val="00591ABA"/>
    <w:rsid w:val="00592CF2"/>
    <w:rsid w:val="005A0748"/>
    <w:rsid w:val="005A0BFF"/>
    <w:rsid w:val="005A1DFF"/>
    <w:rsid w:val="005A2F39"/>
    <w:rsid w:val="005A6F60"/>
    <w:rsid w:val="005A7851"/>
    <w:rsid w:val="005B2C9C"/>
    <w:rsid w:val="005B6FA5"/>
    <w:rsid w:val="005C0241"/>
    <w:rsid w:val="005C076F"/>
    <w:rsid w:val="005C16DD"/>
    <w:rsid w:val="005C228C"/>
    <w:rsid w:val="005C26BD"/>
    <w:rsid w:val="005C44BC"/>
    <w:rsid w:val="005C454C"/>
    <w:rsid w:val="005C7C54"/>
    <w:rsid w:val="005D295F"/>
    <w:rsid w:val="005D4BFD"/>
    <w:rsid w:val="005D4E2C"/>
    <w:rsid w:val="005D79FC"/>
    <w:rsid w:val="005E00BA"/>
    <w:rsid w:val="005E0287"/>
    <w:rsid w:val="005E1EB3"/>
    <w:rsid w:val="005E3BE8"/>
    <w:rsid w:val="005E4B34"/>
    <w:rsid w:val="005E4D9F"/>
    <w:rsid w:val="005E4E5A"/>
    <w:rsid w:val="005F057A"/>
    <w:rsid w:val="005F06EB"/>
    <w:rsid w:val="005F4A36"/>
    <w:rsid w:val="005F5B5A"/>
    <w:rsid w:val="005F5CFC"/>
    <w:rsid w:val="005F6119"/>
    <w:rsid w:val="005F79D3"/>
    <w:rsid w:val="006008BA"/>
    <w:rsid w:val="0060184F"/>
    <w:rsid w:val="00601924"/>
    <w:rsid w:val="0060388E"/>
    <w:rsid w:val="00603A3C"/>
    <w:rsid w:val="00603F90"/>
    <w:rsid w:val="00603FD9"/>
    <w:rsid w:val="006044B1"/>
    <w:rsid w:val="00605436"/>
    <w:rsid w:val="006069E1"/>
    <w:rsid w:val="00607886"/>
    <w:rsid w:val="006118D5"/>
    <w:rsid w:val="006120EA"/>
    <w:rsid w:val="00614090"/>
    <w:rsid w:val="0061479F"/>
    <w:rsid w:val="00615E18"/>
    <w:rsid w:val="00616C46"/>
    <w:rsid w:val="006219A6"/>
    <w:rsid w:val="00621F02"/>
    <w:rsid w:val="006236B4"/>
    <w:rsid w:val="00625467"/>
    <w:rsid w:val="0062654C"/>
    <w:rsid w:val="00626793"/>
    <w:rsid w:val="0063322B"/>
    <w:rsid w:val="006365B4"/>
    <w:rsid w:val="00637AC2"/>
    <w:rsid w:val="00637FB7"/>
    <w:rsid w:val="00640FBD"/>
    <w:rsid w:val="00641DED"/>
    <w:rsid w:val="0064439B"/>
    <w:rsid w:val="00645977"/>
    <w:rsid w:val="006459EC"/>
    <w:rsid w:val="006464A8"/>
    <w:rsid w:val="006516AA"/>
    <w:rsid w:val="006519D4"/>
    <w:rsid w:val="00652170"/>
    <w:rsid w:val="00652729"/>
    <w:rsid w:val="006563B4"/>
    <w:rsid w:val="006622D3"/>
    <w:rsid w:val="00664E52"/>
    <w:rsid w:val="00665CDA"/>
    <w:rsid w:val="006665BF"/>
    <w:rsid w:val="006720C2"/>
    <w:rsid w:val="006731AC"/>
    <w:rsid w:val="00675735"/>
    <w:rsid w:val="00675BAA"/>
    <w:rsid w:val="00675C16"/>
    <w:rsid w:val="00675C2B"/>
    <w:rsid w:val="006773FC"/>
    <w:rsid w:val="00681912"/>
    <w:rsid w:val="00681A40"/>
    <w:rsid w:val="00681B0B"/>
    <w:rsid w:val="006826F6"/>
    <w:rsid w:val="00683655"/>
    <w:rsid w:val="00683D67"/>
    <w:rsid w:val="00684F3A"/>
    <w:rsid w:val="006856F4"/>
    <w:rsid w:val="006877BC"/>
    <w:rsid w:val="0069078E"/>
    <w:rsid w:val="00691347"/>
    <w:rsid w:val="0069225F"/>
    <w:rsid w:val="006925FE"/>
    <w:rsid w:val="00693743"/>
    <w:rsid w:val="0069405D"/>
    <w:rsid w:val="00694BB4"/>
    <w:rsid w:val="00695454"/>
    <w:rsid w:val="006A04F9"/>
    <w:rsid w:val="006A0D8C"/>
    <w:rsid w:val="006A0E3F"/>
    <w:rsid w:val="006A2255"/>
    <w:rsid w:val="006A3CA2"/>
    <w:rsid w:val="006A790D"/>
    <w:rsid w:val="006B016C"/>
    <w:rsid w:val="006B0549"/>
    <w:rsid w:val="006B0D73"/>
    <w:rsid w:val="006B1737"/>
    <w:rsid w:val="006B3EF7"/>
    <w:rsid w:val="006B437D"/>
    <w:rsid w:val="006B568D"/>
    <w:rsid w:val="006B5780"/>
    <w:rsid w:val="006B689E"/>
    <w:rsid w:val="006B6F79"/>
    <w:rsid w:val="006B7BF4"/>
    <w:rsid w:val="006C0F35"/>
    <w:rsid w:val="006C2C21"/>
    <w:rsid w:val="006C3812"/>
    <w:rsid w:val="006C526B"/>
    <w:rsid w:val="006C5B05"/>
    <w:rsid w:val="006C7C15"/>
    <w:rsid w:val="006C7D19"/>
    <w:rsid w:val="006D78FD"/>
    <w:rsid w:val="006D7B01"/>
    <w:rsid w:val="006E33B3"/>
    <w:rsid w:val="006E5548"/>
    <w:rsid w:val="006E7920"/>
    <w:rsid w:val="006F1E5F"/>
    <w:rsid w:val="006F3E1F"/>
    <w:rsid w:val="006F4415"/>
    <w:rsid w:val="00700456"/>
    <w:rsid w:val="00704603"/>
    <w:rsid w:val="007049D3"/>
    <w:rsid w:val="00704BA0"/>
    <w:rsid w:val="007104A4"/>
    <w:rsid w:val="00712436"/>
    <w:rsid w:val="00712663"/>
    <w:rsid w:val="007132CE"/>
    <w:rsid w:val="00713695"/>
    <w:rsid w:val="007157DE"/>
    <w:rsid w:val="00720874"/>
    <w:rsid w:val="00721BDD"/>
    <w:rsid w:val="00723B30"/>
    <w:rsid w:val="00723C81"/>
    <w:rsid w:val="00723E03"/>
    <w:rsid w:val="00724597"/>
    <w:rsid w:val="0072547C"/>
    <w:rsid w:val="00726B95"/>
    <w:rsid w:val="00726E4F"/>
    <w:rsid w:val="0072794D"/>
    <w:rsid w:val="00727AD2"/>
    <w:rsid w:val="0073127B"/>
    <w:rsid w:val="00731C77"/>
    <w:rsid w:val="0073261A"/>
    <w:rsid w:val="00733B15"/>
    <w:rsid w:val="00734B31"/>
    <w:rsid w:val="007403BF"/>
    <w:rsid w:val="007412FB"/>
    <w:rsid w:val="00741622"/>
    <w:rsid w:val="0074179F"/>
    <w:rsid w:val="00741F94"/>
    <w:rsid w:val="00743069"/>
    <w:rsid w:val="007432DD"/>
    <w:rsid w:val="007446FE"/>
    <w:rsid w:val="00744EE5"/>
    <w:rsid w:val="00752D40"/>
    <w:rsid w:val="00754656"/>
    <w:rsid w:val="00755C60"/>
    <w:rsid w:val="00755EE2"/>
    <w:rsid w:val="00755FA2"/>
    <w:rsid w:val="00756C1F"/>
    <w:rsid w:val="00757708"/>
    <w:rsid w:val="00757E4F"/>
    <w:rsid w:val="00760E9B"/>
    <w:rsid w:val="00764238"/>
    <w:rsid w:val="00770879"/>
    <w:rsid w:val="00770B7D"/>
    <w:rsid w:val="00770DB8"/>
    <w:rsid w:val="007714B9"/>
    <w:rsid w:val="00771B2D"/>
    <w:rsid w:val="007721D4"/>
    <w:rsid w:val="007736DA"/>
    <w:rsid w:val="00773F28"/>
    <w:rsid w:val="00775C2A"/>
    <w:rsid w:val="007760D0"/>
    <w:rsid w:val="00780AE9"/>
    <w:rsid w:val="0078214F"/>
    <w:rsid w:val="007864BD"/>
    <w:rsid w:val="00787235"/>
    <w:rsid w:val="00791E07"/>
    <w:rsid w:val="00793986"/>
    <w:rsid w:val="00795657"/>
    <w:rsid w:val="0079594E"/>
    <w:rsid w:val="007972E2"/>
    <w:rsid w:val="007976AA"/>
    <w:rsid w:val="007A050A"/>
    <w:rsid w:val="007A2C70"/>
    <w:rsid w:val="007B18CC"/>
    <w:rsid w:val="007B1C53"/>
    <w:rsid w:val="007B2369"/>
    <w:rsid w:val="007B3DBA"/>
    <w:rsid w:val="007B60B9"/>
    <w:rsid w:val="007B73D8"/>
    <w:rsid w:val="007C03DE"/>
    <w:rsid w:val="007C12AD"/>
    <w:rsid w:val="007C172B"/>
    <w:rsid w:val="007C31A5"/>
    <w:rsid w:val="007C5339"/>
    <w:rsid w:val="007C55BA"/>
    <w:rsid w:val="007D039A"/>
    <w:rsid w:val="007D31FE"/>
    <w:rsid w:val="007D4A7D"/>
    <w:rsid w:val="007E21E8"/>
    <w:rsid w:val="007E2AFB"/>
    <w:rsid w:val="007E2BB5"/>
    <w:rsid w:val="007E5239"/>
    <w:rsid w:val="007E5A86"/>
    <w:rsid w:val="007E5F7E"/>
    <w:rsid w:val="007E7A05"/>
    <w:rsid w:val="007F0512"/>
    <w:rsid w:val="007F0C01"/>
    <w:rsid w:val="007F3D58"/>
    <w:rsid w:val="007F6104"/>
    <w:rsid w:val="007F6BA4"/>
    <w:rsid w:val="007F7255"/>
    <w:rsid w:val="007F7DE6"/>
    <w:rsid w:val="0081101E"/>
    <w:rsid w:val="00814AE9"/>
    <w:rsid w:val="00816058"/>
    <w:rsid w:val="00820CC6"/>
    <w:rsid w:val="00821046"/>
    <w:rsid w:val="008216E3"/>
    <w:rsid w:val="00822715"/>
    <w:rsid w:val="008229D7"/>
    <w:rsid w:val="008237A0"/>
    <w:rsid w:val="0082641A"/>
    <w:rsid w:val="00830C92"/>
    <w:rsid w:val="00836927"/>
    <w:rsid w:val="00836E64"/>
    <w:rsid w:val="008372D0"/>
    <w:rsid w:val="0084035B"/>
    <w:rsid w:val="00842514"/>
    <w:rsid w:val="0084283D"/>
    <w:rsid w:val="00842B48"/>
    <w:rsid w:val="008462B4"/>
    <w:rsid w:val="0084701E"/>
    <w:rsid w:val="0085159B"/>
    <w:rsid w:val="00852C4F"/>
    <w:rsid w:val="00852E98"/>
    <w:rsid w:val="008534D2"/>
    <w:rsid w:val="0085362F"/>
    <w:rsid w:val="008548DA"/>
    <w:rsid w:val="00856D0C"/>
    <w:rsid w:val="00860F3D"/>
    <w:rsid w:val="00861465"/>
    <w:rsid w:val="0086397C"/>
    <w:rsid w:val="00863EE8"/>
    <w:rsid w:val="008753CA"/>
    <w:rsid w:val="00875E44"/>
    <w:rsid w:val="0087780A"/>
    <w:rsid w:val="00877F88"/>
    <w:rsid w:val="008802E8"/>
    <w:rsid w:val="00880398"/>
    <w:rsid w:val="00882678"/>
    <w:rsid w:val="00883717"/>
    <w:rsid w:val="00883ABE"/>
    <w:rsid w:val="00883D02"/>
    <w:rsid w:val="00884623"/>
    <w:rsid w:val="008856BD"/>
    <w:rsid w:val="00886153"/>
    <w:rsid w:val="00887D92"/>
    <w:rsid w:val="00891613"/>
    <w:rsid w:val="00891963"/>
    <w:rsid w:val="008928DD"/>
    <w:rsid w:val="00893DDD"/>
    <w:rsid w:val="008973F4"/>
    <w:rsid w:val="00897AC8"/>
    <w:rsid w:val="008A0C06"/>
    <w:rsid w:val="008A2F1D"/>
    <w:rsid w:val="008A553F"/>
    <w:rsid w:val="008A6E48"/>
    <w:rsid w:val="008B25C8"/>
    <w:rsid w:val="008B3062"/>
    <w:rsid w:val="008B3726"/>
    <w:rsid w:val="008B47C2"/>
    <w:rsid w:val="008B54F0"/>
    <w:rsid w:val="008B63DB"/>
    <w:rsid w:val="008B67FB"/>
    <w:rsid w:val="008B68D0"/>
    <w:rsid w:val="008B6EE0"/>
    <w:rsid w:val="008C7AA8"/>
    <w:rsid w:val="008D075D"/>
    <w:rsid w:val="008D3540"/>
    <w:rsid w:val="008D43C1"/>
    <w:rsid w:val="008D5522"/>
    <w:rsid w:val="008D55C0"/>
    <w:rsid w:val="008D59A3"/>
    <w:rsid w:val="008D5E5F"/>
    <w:rsid w:val="008D5F6C"/>
    <w:rsid w:val="008E0456"/>
    <w:rsid w:val="008E060C"/>
    <w:rsid w:val="008E1513"/>
    <w:rsid w:val="008E6593"/>
    <w:rsid w:val="008E6A32"/>
    <w:rsid w:val="008E7759"/>
    <w:rsid w:val="008F3E17"/>
    <w:rsid w:val="008F4DA4"/>
    <w:rsid w:val="008F5130"/>
    <w:rsid w:val="00901144"/>
    <w:rsid w:val="0090790B"/>
    <w:rsid w:val="00907B47"/>
    <w:rsid w:val="00912BDB"/>
    <w:rsid w:val="0091508E"/>
    <w:rsid w:val="0091526B"/>
    <w:rsid w:val="00915798"/>
    <w:rsid w:val="00923634"/>
    <w:rsid w:val="00925540"/>
    <w:rsid w:val="009263BF"/>
    <w:rsid w:val="00930D53"/>
    <w:rsid w:val="009328E7"/>
    <w:rsid w:val="00936C9B"/>
    <w:rsid w:val="00937C91"/>
    <w:rsid w:val="0094454E"/>
    <w:rsid w:val="00944AC5"/>
    <w:rsid w:val="00947A76"/>
    <w:rsid w:val="00950032"/>
    <w:rsid w:val="00950079"/>
    <w:rsid w:val="00952356"/>
    <w:rsid w:val="00952DCF"/>
    <w:rsid w:val="00953BA8"/>
    <w:rsid w:val="00956263"/>
    <w:rsid w:val="0096033C"/>
    <w:rsid w:val="0096252B"/>
    <w:rsid w:val="00970349"/>
    <w:rsid w:val="009710B1"/>
    <w:rsid w:val="009711C4"/>
    <w:rsid w:val="009714C1"/>
    <w:rsid w:val="00971562"/>
    <w:rsid w:val="0097169C"/>
    <w:rsid w:val="009717CD"/>
    <w:rsid w:val="00976BAF"/>
    <w:rsid w:val="00980373"/>
    <w:rsid w:val="00980B12"/>
    <w:rsid w:val="00986CC6"/>
    <w:rsid w:val="00987741"/>
    <w:rsid w:val="00987A3A"/>
    <w:rsid w:val="00987EE1"/>
    <w:rsid w:val="009901EC"/>
    <w:rsid w:val="009918CE"/>
    <w:rsid w:val="00993F17"/>
    <w:rsid w:val="00995C50"/>
    <w:rsid w:val="00995D40"/>
    <w:rsid w:val="00996F0E"/>
    <w:rsid w:val="00997C13"/>
    <w:rsid w:val="009A2D98"/>
    <w:rsid w:val="009A4143"/>
    <w:rsid w:val="009A5BEB"/>
    <w:rsid w:val="009A6242"/>
    <w:rsid w:val="009B004E"/>
    <w:rsid w:val="009B2007"/>
    <w:rsid w:val="009B402C"/>
    <w:rsid w:val="009B5286"/>
    <w:rsid w:val="009B5CD8"/>
    <w:rsid w:val="009B6745"/>
    <w:rsid w:val="009B7BFD"/>
    <w:rsid w:val="009C1F9B"/>
    <w:rsid w:val="009C2AEF"/>
    <w:rsid w:val="009C39BF"/>
    <w:rsid w:val="009C58D2"/>
    <w:rsid w:val="009C65F9"/>
    <w:rsid w:val="009C7F80"/>
    <w:rsid w:val="009D0C19"/>
    <w:rsid w:val="009D19FB"/>
    <w:rsid w:val="009D1CD5"/>
    <w:rsid w:val="009D2963"/>
    <w:rsid w:val="009D40D3"/>
    <w:rsid w:val="009D42F3"/>
    <w:rsid w:val="009D5B04"/>
    <w:rsid w:val="009D6EB1"/>
    <w:rsid w:val="009E015D"/>
    <w:rsid w:val="009E2652"/>
    <w:rsid w:val="009E27AF"/>
    <w:rsid w:val="009E4EA6"/>
    <w:rsid w:val="009E6F4F"/>
    <w:rsid w:val="009E778C"/>
    <w:rsid w:val="009F0D04"/>
    <w:rsid w:val="009F2C1D"/>
    <w:rsid w:val="009F313C"/>
    <w:rsid w:val="009F33A2"/>
    <w:rsid w:val="009F4339"/>
    <w:rsid w:val="009F4354"/>
    <w:rsid w:val="009F6766"/>
    <w:rsid w:val="00A016FC"/>
    <w:rsid w:val="00A02590"/>
    <w:rsid w:val="00A03758"/>
    <w:rsid w:val="00A04868"/>
    <w:rsid w:val="00A06A47"/>
    <w:rsid w:val="00A06B2C"/>
    <w:rsid w:val="00A11A6F"/>
    <w:rsid w:val="00A1221F"/>
    <w:rsid w:val="00A13655"/>
    <w:rsid w:val="00A13F35"/>
    <w:rsid w:val="00A15E3A"/>
    <w:rsid w:val="00A1622D"/>
    <w:rsid w:val="00A17519"/>
    <w:rsid w:val="00A21172"/>
    <w:rsid w:val="00A21457"/>
    <w:rsid w:val="00A32EF3"/>
    <w:rsid w:val="00A33227"/>
    <w:rsid w:val="00A339A5"/>
    <w:rsid w:val="00A37499"/>
    <w:rsid w:val="00A4015A"/>
    <w:rsid w:val="00A41F9F"/>
    <w:rsid w:val="00A4229C"/>
    <w:rsid w:val="00A42485"/>
    <w:rsid w:val="00A4371B"/>
    <w:rsid w:val="00A44936"/>
    <w:rsid w:val="00A476BC"/>
    <w:rsid w:val="00A51D57"/>
    <w:rsid w:val="00A520D2"/>
    <w:rsid w:val="00A52B1E"/>
    <w:rsid w:val="00A57509"/>
    <w:rsid w:val="00A63B8A"/>
    <w:rsid w:val="00A65A4A"/>
    <w:rsid w:val="00A66157"/>
    <w:rsid w:val="00A67076"/>
    <w:rsid w:val="00A708EE"/>
    <w:rsid w:val="00A71747"/>
    <w:rsid w:val="00A72393"/>
    <w:rsid w:val="00A72498"/>
    <w:rsid w:val="00A73507"/>
    <w:rsid w:val="00A744CE"/>
    <w:rsid w:val="00A759D5"/>
    <w:rsid w:val="00A75E84"/>
    <w:rsid w:val="00A77051"/>
    <w:rsid w:val="00A773D1"/>
    <w:rsid w:val="00A77AE2"/>
    <w:rsid w:val="00A80E47"/>
    <w:rsid w:val="00A82BC5"/>
    <w:rsid w:val="00A8553F"/>
    <w:rsid w:val="00A85BAA"/>
    <w:rsid w:val="00A87071"/>
    <w:rsid w:val="00A918CC"/>
    <w:rsid w:val="00A91C0B"/>
    <w:rsid w:val="00A9287E"/>
    <w:rsid w:val="00A94E22"/>
    <w:rsid w:val="00AA0F37"/>
    <w:rsid w:val="00AA162E"/>
    <w:rsid w:val="00AA2A03"/>
    <w:rsid w:val="00AA4680"/>
    <w:rsid w:val="00AA7174"/>
    <w:rsid w:val="00AA7A5B"/>
    <w:rsid w:val="00AB18A3"/>
    <w:rsid w:val="00AB386F"/>
    <w:rsid w:val="00AB5746"/>
    <w:rsid w:val="00AB6909"/>
    <w:rsid w:val="00AB7014"/>
    <w:rsid w:val="00AB7C34"/>
    <w:rsid w:val="00AC1C8E"/>
    <w:rsid w:val="00AC1DD3"/>
    <w:rsid w:val="00AD3520"/>
    <w:rsid w:val="00AD3DD1"/>
    <w:rsid w:val="00AD6ED1"/>
    <w:rsid w:val="00AD7C84"/>
    <w:rsid w:val="00AE216D"/>
    <w:rsid w:val="00AE2858"/>
    <w:rsid w:val="00AE35B3"/>
    <w:rsid w:val="00AE4E26"/>
    <w:rsid w:val="00AE5095"/>
    <w:rsid w:val="00AE56CF"/>
    <w:rsid w:val="00AE58D2"/>
    <w:rsid w:val="00AF0640"/>
    <w:rsid w:val="00AF33BE"/>
    <w:rsid w:val="00AF49A9"/>
    <w:rsid w:val="00AF6172"/>
    <w:rsid w:val="00AF7126"/>
    <w:rsid w:val="00AF7571"/>
    <w:rsid w:val="00B00F5C"/>
    <w:rsid w:val="00B02021"/>
    <w:rsid w:val="00B022DA"/>
    <w:rsid w:val="00B02B25"/>
    <w:rsid w:val="00B03A13"/>
    <w:rsid w:val="00B04DFB"/>
    <w:rsid w:val="00B05602"/>
    <w:rsid w:val="00B05C72"/>
    <w:rsid w:val="00B07620"/>
    <w:rsid w:val="00B11719"/>
    <w:rsid w:val="00B11D78"/>
    <w:rsid w:val="00B126A4"/>
    <w:rsid w:val="00B138E7"/>
    <w:rsid w:val="00B13D0F"/>
    <w:rsid w:val="00B15493"/>
    <w:rsid w:val="00B202F1"/>
    <w:rsid w:val="00B20F81"/>
    <w:rsid w:val="00B2335F"/>
    <w:rsid w:val="00B26588"/>
    <w:rsid w:val="00B30E07"/>
    <w:rsid w:val="00B316F5"/>
    <w:rsid w:val="00B33264"/>
    <w:rsid w:val="00B34B7D"/>
    <w:rsid w:val="00B34F1D"/>
    <w:rsid w:val="00B479C6"/>
    <w:rsid w:val="00B501A2"/>
    <w:rsid w:val="00B50F6B"/>
    <w:rsid w:val="00B51AE1"/>
    <w:rsid w:val="00B52CB0"/>
    <w:rsid w:val="00B53169"/>
    <w:rsid w:val="00B53229"/>
    <w:rsid w:val="00B53596"/>
    <w:rsid w:val="00B552F8"/>
    <w:rsid w:val="00B5631B"/>
    <w:rsid w:val="00B606A7"/>
    <w:rsid w:val="00B626EF"/>
    <w:rsid w:val="00B63022"/>
    <w:rsid w:val="00B6449D"/>
    <w:rsid w:val="00B64817"/>
    <w:rsid w:val="00B64A6B"/>
    <w:rsid w:val="00B7178E"/>
    <w:rsid w:val="00B73672"/>
    <w:rsid w:val="00B738C2"/>
    <w:rsid w:val="00B73B40"/>
    <w:rsid w:val="00B741B8"/>
    <w:rsid w:val="00B757CE"/>
    <w:rsid w:val="00B76478"/>
    <w:rsid w:val="00B81D8D"/>
    <w:rsid w:val="00B84791"/>
    <w:rsid w:val="00B84EDD"/>
    <w:rsid w:val="00B85A14"/>
    <w:rsid w:val="00B8718B"/>
    <w:rsid w:val="00B91074"/>
    <w:rsid w:val="00B92C85"/>
    <w:rsid w:val="00B933F4"/>
    <w:rsid w:val="00B943D9"/>
    <w:rsid w:val="00B960A2"/>
    <w:rsid w:val="00BA34A9"/>
    <w:rsid w:val="00BB0611"/>
    <w:rsid w:val="00BB1993"/>
    <w:rsid w:val="00BB1F2A"/>
    <w:rsid w:val="00BB44A1"/>
    <w:rsid w:val="00BB63B5"/>
    <w:rsid w:val="00BC1330"/>
    <w:rsid w:val="00BC1526"/>
    <w:rsid w:val="00BC1E75"/>
    <w:rsid w:val="00BC241A"/>
    <w:rsid w:val="00BC41ED"/>
    <w:rsid w:val="00BC44AE"/>
    <w:rsid w:val="00BC5518"/>
    <w:rsid w:val="00BC69E4"/>
    <w:rsid w:val="00BD1E4E"/>
    <w:rsid w:val="00BD786A"/>
    <w:rsid w:val="00BE019B"/>
    <w:rsid w:val="00BE2AF7"/>
    <w:rsid w:val="00BE2ED9"/>
    <w:rsid w:val="00BE4247"/>
    <w:rsid w:val="00BE52ED"/>
    <w:rsid w:val="00BE645F"/>
    <w:rsid w:val="00BF27F8"/>
    <w:rsid w:val="00BF39C7"/>
    <w:rsid w:val="00BF6231"/>
    <w:rsid w:val="00C05329"/>
    <w:rsid w:val="00C05684"/>
    <w:rsid w:val="00C06810"/>
    <w:rsid w:val="00C116A0"/>
    <w:rsid w:val="00C11BCC"/>
    <w:rsid w:val="00C13126"/>
    <w:rsid w:val="00C14A1C"/>
    <w:rsid w:val="00C14D24"/>
    <w:rsid w:val="00C16CAC"/>
    <w:rsid w:val="00C17464"/>
    <w:rsid w:val="00C20903"/>
    <w:rsid w:val="00C219EB"/>
    <w:rsid w:val="00C21DDE"/>
    <w:rsid w:val="00C22C99"/>
    <w:rsid w:val="00C22D99"/>
    <w:rsid w:val="00C230C8"/>
    <w:rsid w:val="00C23831"/>
    <w:rsid w:val="00C245EC"/>
    <w:rsid w:val="00C24BBB"/>
    <w:rsid w:val="00C25D47"/>
    <w:rsid w:val="00C27395"/>
    <w:rsid w:val="00C27CCA"/>
    <w:rsid w:val="00C30EBA"/>
    <w:rsid w:val="00C32668"/>
    <w:rsid w:val="00C342AD"/>
    <w:rsid w:val="00C37F91"/>
    <w:rsid w:val="00C432A6"/>
    <w:rsid w:val="00C50297"/>
    <w:rsid w:val="00C50CA5"/>
    <w:rsid w:val="00C536C8"/>
    <w:rsid w:val="00C53E94"/>
    <w:rsid w:val="00C54F70"/>
    <w:rsid w:val="00C6010B"/>
    <w:rsid w:val="00C6026E"/>
    <w:rsid w:val="00C61CEA"/>
    <w:rsid w:val="00C67D58"/>
    <w:rsid w:val="00C73192"/>
    <w:rsid w:val="00C74B61"/>
    <w:rsid w:val="00C7546B"/>
    <w:rsid w:val="00C758E5"/>
    <w:rsid w:val="00C76C07"/>
    <w:rsid w:val="00C80814"/>
    <w:rsid w:val="00C81745"/>
    <w:rsid w:val="00C83038"/>
    <w:rsid w:val="00C8339D"/>
    <w:rsid w:val="00C84932"/>
    <w:rsid w:val="00C84B40"/>
    <w:rsid w:val="00C85035"/>
    <w:rsid w:val="00C876B3"/>
    <w:rsid w:val="00C8794D"/>
    <w:rsid w:val="00C87D77"/>
    <w:rsid w:val="00C932E5"/>
    <w:rsid w:val="00C9365C"/>
    <w:rsid w:val="00C945AF"/>
    <w:rsid w:val="00C94C7F"/>
    <w:rsid w:val="00C95896"/>
    <w:rsid w:val="00CA0B3A"/>
    <w:rsid w:val="00CA33AB"/>
    <w:rsid w:val="00CA425D"/>
    <w:rsid w:val="00CA48A8"/>
    <w:rsid w:val="00CA5CD6"/>
    <w:rsid w:val="00CB24EC"/>
    <w:rsid w:val="00CB4F97"/>
    <w:rsid w:val="00CB59FE"/>
    <w:rsid w:val="00CB6D82"/>
    <w:rsid w:val="00CC0133"/>
    <w:rsid w:val="00CC13B7"/>
    <w:rsid w:val="00CC4252"/>
    <w:rsid w:val="00CC4FD8"/>
    <w:rsid w:val="00CC6104"/>
    <w:rsid w:val="00CC6805"/>
    <w:rsid w:val="00CC7B7D"/>
    <w:rsid w:val="00CD2B97"/>
    <w:rsid w:val="00CD2F6C"/>
    <w:rsid w:val="00CD374B"/>
    <w:rsid w:val="00CD5453"/>
    <w:rsid w:val="00CD57D3"/>
    <w:rsid w:val="00CD7B76"/>
    <w:rsid w:val="00CE1848"/>
    <w:rsid w:val="00CE6041"/>
    <w:rsid w:val="00CF31A1"/>
    <w:rsid w:val="00CF6D6E"/>
    <w:rsid w:val="00D0043C"/>
    <w:rsid w:val="00D047D5"/>
    <w:rsid w:val="00D1260A"/>
    <w:rsid w:val="00D14337"/>
    <w:rsid w:val="00D1611A"/>
    <w:rsid w:val="00D17B9E"/>
    <w:rsid w:val="00D239F0"/>
    <w:rsid w:val="00D23D56"/>
    <w:rsid w:val="00D27E9D"/>
    <w:rsid w:val="00D350B2"/>
    <w:rsid w:val="00D365ED"/>
    <w:rsid w:val="00D4154C"/>
    <w:rsid w:val="00D422A9"/>
    <w:rsid w:val="00D42496"/>
    <w:rsid w:val="00D42C73"/>
    <w:rsid w:val="00D44CE6"/>
    <w:rsid w:val="00D450DF"/>
    <w:rsid w:val="00D45CAB"/>
    <w:rsid w:val="00D468BE"/>
    <w:rsid w:val="00D51225"/>
    <w:rsid w:val="00D54268"/>
    <w:rsid w:val="00D55648"/>
    <w:rsid w:val="00D5564C"/>
    <w:rsid w:val="00D57C9F"/>
    <w:rsid w:val="00D57D8C"/>
    <w:rsid w:val="00D60060"/>
    <w:rsid w:val="00D6130E"/>
    <w:rsid w:val="00D66C51"/>
    <w:rsid w:val="00D71AE4"/>
    <w:rsid w:val="00D724FC"/>
    <w:rsid w:val="00D72BD2"/>
    <w:rsid w:val="00D73989"/>
    <w:rsid w:val="00D74095"/>
    <w:rsid w:val="00D74BA0"/>
    <w:rsid w:val="00D761D9"/>
    <w:rsid w:val="00D805FE"/>
    <w:rsid w:val="00D82EAB"/>
    <w:rsid w:val="00D84C5A"/>
    <w:rsid w:val="00D86017"/>
    <w:rsid w:val="00D91FDE"/>
    <w:rsid w:val="00D920EC"/>
    <w:rsid w:val="00D92A46"/>
    <w:rsid w:val="00D9496D"/>
    <w:rsid w:val="00D95ED5"/>
    <w:rsid w:val="00D96E28"/>
    <w:rsid w:val="00DA104A"/>
    <w:rsid w:val="00DA1320"/>
    <w:rsid w:val="00DA373B"/>
    <w:rsid w:val="00DA40B4"/>
    <w:rsid w:val="00DA41E1"/>
    <w:rsid w:val="00DA467A"/>
    <w:rsid w:val="00DA599B"/>
    <w:rsid w:val="00DA6B2D"/>
    <w:rsid w:val="00DA7AB9"/>
    <w:rsid w:val="00DB09D8"/>
    <w:rsid w:val="00DB0B37"/>
    <w:rsid w:val="00DB1CDC"/>
    <w:rsid w:val="00DB2BAB"/>
    <w:rsid w:val="00DB343D"/>
    <w:rsid w:val="00DB6F18"/>
    <w:rsid w:val="00DB7E28"/>
    <w:rsid w:val="00DC102F"/>
    <w:rsid w:val="00DC4CEA"/>
    <w:rsid w:val="00DC5FC1"/>
    <w:rsid w:val="00DD1346"/>
    <w:rsid w:val="00DD3E27"/>
    <w:rsid w:val="00DD6731"/>
    <w:rsid w:val="00DD7339"/>
    <w:rsid w:val="00DE037C"/>
    <w:rsid w:val="00DE1858"/>
    <w:rsid w:val="00DE504C"/>
    <w:rsid w:val="00DE6A53"/>
    <w:rsid w:val="00DE6E5C"/>
    <w:rsid w:val="00DE7E00"/>
    <w:rsid w:val="00DE7F38"/>
    <w:rsid w:val="00DF3800"/>
    <w:rsid w:val="00DF5D0D"/>
    <w:rsid w:val="00DF6EB1"/>
    <w:rsid w:val="00DF7DE8"/>
    <w:rsid w:val="00E0357A"/>
    <w:rsid w:val="00E04FEC"/>
    <w:rsid w:val="00E05954"/>
    <w:rsid w:val="00E06685"/>
    <w:rsid w:val="00E07ABA"/>
    <w:rsid w:val="00E1076A"/>
    <w:rsid w:val="00E11532"/>
    <w:rsid w:val="00E12329"/>
    <w:rsid w:val="00E1500D"/>
    <w:rsid w:val="00E151F9"/>
    <w:rsid w:val="00E164C8"/>
    <w:rsid w:val="00E16BE9"/>
    <w:rsid w:val="00E16FC7"/>
    <w:rsid w:val="00E2204B"/>
    <w:rsid w:val="00E23652"/>
    <w:rsid w:val="00E23C24"/>
    <w:rsid w:val="00E24CCE"/>
    <w:rsid w:val="00E340BB"/>
    <w:rsid w:val="00E34C43"/>
    <w:rsid w:val="00E3529A"/>
    <w:rsid w:val="00E3685C"/>
    <w:rsid w:val="00E37CE3"/>
    <w:rsid w:val="00E412A4"/>
    <w:rsid w:val="00E41FA9"/>
    <w:rsid w:val="00E42372"/>
    <w:rsid w:val="00E4237F"/>
    <w:rsid w:val="00E42EA8"/>
    <w:rsid w:val="00E468FF"/>
    <w:rsid w:val="00E569C4"/>
    <w:rsid w:val="00E60E64"/>
    <w:rsid w:val="00E62CBA"/>
    <w:rsid w:val="00E6533D"/>
    <w:rsid w:val="00E65BA8"/>
    <w:rsid w:val="00E66721"/>
    <w:rsid w:val="00E66C13"/>
    <w:rsid w:val="00E70E28"/>
    <w:rsid w:val="00E71CDE"/>
    <w:rsid w:val="00E75170"/>
    <w:rsid w:val="00E802B9"/>
    <w:rsid w:val="00E82FBE"/>
    <w:rsid w:val="00E915BE"/>
    <w:rsid w:val="00E92111"/>
    <w:rsid w:val="00E921C3"/>
    <w:rsid w:val="00E94A4D"/>
    <w:rsid w:val="00E95F1A"/>
    <w:rsid w:val="00E96FDB"/>
    <w:rsid w:val="00E97021"/>
    <w:rsid w:val="00EA0315"/>
    <w:rsid w:val="00EA0979"/>
    <w:rsid w:val="00EA50EB"/>
    <w:rsid w:val="00EA536B"/>
    <w:rsid w:val="00EA566C"/>
    <w:rsid w:val="00EA6A4D"/>
    <w:rsid w:val="00EA752B"/>
    <w:rsid w:val="00EB00A0"/>
    <w:rsid w:val="00EB13FE"/>
    <w:rsid w:val="00EB3A4B"/>
    <w:rsid w:val="00EB6A07"/>
    <w:rsid w:val="00EC2F48"/>
    <w:rsid w:val="00EC3890"/>
    <w:rsid w:val="00ED2059"/>
    <w:rsid w:val="00ED322B"/>
    <w:rsid w:val="00ED4449"/>
    <w:rsid w:val="00EE1B2F"/>
    <w:rsid w:val="00EF06FA"/>
    <w:rsid w:val="00EF108D"/>
    <w:rsid w:val="00EF36CD"/>
    <w:rsid w:val="00F00D7A"/>
    <w:rsid w:val="00F015BF"/>
    <w:rsid w:val="00F075A8"/>
    <w:rsid w:val="00F07994"/>
    <w:rsid w:val="00F14277"/>
    <w:rsid w:val="00F153DB"/>
    <w:rsid w:val="00F16037"/>
    <w:rsid w:val="00F16D83"/>
    <w:rsid w:val="00F2093C"/>
    <w:rsid w:val="00F2251F"/>
    <w:rsid w:val="00F22B0F"/>
    <w:rsid w:val="00F24C00"/>
    <w:rsid w:val="00F26AB1"/>
    <w:rsid w:val="00F26F33"/>
    <w:rsid w:val="00F27013"/>
    <w:rsid w:val="00F27D77"/>
    <w:rsid w:val="00F30561"/>
    <w:rsid w:val="00F30F83"/>
    <w:rsid w:val="00F352CE"/>
    <w:rsid w:val="00F35357"/>
    <w:rsid w:val="00F36A34"/>
    <w:rsid w:val="00F37418"/>
    <w:rsid w:val="00F3795F"/>
    <w:rsid w:val="00F426CF"/>
    <w:rsid w:val="00F43145"/>
    <w:rsid w:val="00F444D7"/>
    <w:rsid w:val="00F51E02"/>
    <w:rsid w:val="00F5275A"/>
    <w:rsid w:val="00F54A0D"/>
    <w:rsid w:val="00F55335"/>
    <w:rsid w:val="00F555D0"/>
    <w:rsid w:val="00F55E90"/>
    <w:rsid w:val="00F56626"/>
    <w:rsid w:val="00F57EC0"/>
    <w:rsid w:val="00F61789"/>
    <w:rsid w:val="00F63341"/>
    <w:rsid w:val="00F63FE0"/>
    <w:rsid w:val="00F65156"/>
    <w:rsid w:val="00F65B81"/>
    <w:rsid w:val="00F663B1"/>
    <w:rsid w:val="00F66E83"/>
    <w:rsid w:val="00F67821"/>
    <w:rsid w:val="00F67D87"/>
    <w:rsid w:val="00F72912"/>
    <w:rsid w:val="00F72CE9"/>
    <w:rsid w:val="00F72EB6"/>
    <w:rsid w:val="00F74A71"/>
    <w:rsid w:val="00F777BC"/>
    <w:rsid w:val="00F77F78"/>
    <w:rsid w:val="00F805C0"/>
    <w:rsid w:val="00F80D44"/>
    <w:rsid w:val="00F817FE"/>
    <w:rsid w:val="00F82B8B"/>
    <w:rsid w:val="00F90379"/>
    <w:rsid w:val="00F9223B"/>
    <w:rsid w:val="00F93FCF"/>
    <w:rsid w:val="00F97842"/>
    <w:rsid w:val="00F97CE4"/>
    <w:rsid w:val="00FA071A"/>
    <w:rsid w:val="00FA2A84"/>
    <w:rsid w:val="00FA46FB"/>
    <w:rsid w:val="00FA68FA"/>
    <w:rsid w:val="00FA72EE"/>
    <w:rsid w:val="00FA7A95"/>
    <w:rsid w:val="00FB121C"/>
    <w:rsid w:val="00FB3CF9"/>
    <w:rsid w:val="00FB4CCD"/>
    <w:rsid w:val="00FB5AF8"/>
    <w:rsid w:val="00FB5F0E"/>
    <w:rsid w:val="00FB6133"/>
    <w:rsid w:val="00FB75B2"/>
    <w:rsid w:val="00FB7A78"/>
    <w:rsid w:val="00FC026C"/>
    <w:rsid w:val="00FC1E19"/>
    <w:rsid w:val="00FC20D6"/>
    <w:rsid w:val="00FC2B27"/>
    <w:rsid w:val="00FC3002"/>
    <w:rsid w:val="00FC3078"/>
    <w:rsid w:val="00FC36E8"/>
    <w:rsid w:val="00FC41B7"/>
    <w:rsid w:val="00FC66C9"/>
    <w:rsid w:val="00FC7136"/>
    <w:rsid w:val="00FC7598"/>
    <w:rsid w:val="00FD0C03"/>
    <w:rsid w:val="00FD0E76"/>
    <w:rsid w:val="00FD250E"/>
    <w:rsid w:val="00FD2EBF"/>
    <w:rsid w:val="00FD34D1"/>
    <w:rsid w:val="00FD5383"/>
    <w:rsid w:val="00FD5DBD"/>
    <w:rsid w:val="00FE0C4B"/>
    <w:rsid w:val="00FE3556"/>
    <w:rsid w:val="00FE401D"/>
    <w:rsid w:val="00FE42CD"/>
    <w:rsid w:val="00FE4B7E"/>
    <w:rsid w:val="00FE5557"/>
    <w:rsid w:val="00FE55BD"/>
    <w:rsid w:val="00FE7B78"/>
    <w:rsid w:val="00FF0095"/>
    <w:rsid w:val="00FF0140"/>
    <w:rsid w:val="00FF04CA"/>
    <w:rsid w:val="00FF14D7"/>
    <w:rsid w:val="00FF1824"/>
    <w:rsid w:val="00FF2D32"/>
    <w:rsid w:val="00FF2F17"/>
    <w:rsid w:val="00FF4629"/>
    <w:rsid w:val="00FF48EB"/>
    <w:rsid w:val="00FF5823"/>
    <w:rsid w:val="00FF5879"/>
    <w:rsid w:val="00FF6F19"/>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65AB"/>
  <w15:chartTrackingRefBased/>
  <w15:docId w15:val="{B2605264-4E9D-4499-8FF3-91FE725A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Project Profile name,Paragraphe de liste1,Numbered paragraph,Paragraphe de liste,Medium Grid 1 - Accent 21,Numbered List Paragraph,References,ReferencesCxSpLast,Table/Figure Heading,En tête 1"/>
    <w:basedOn w:val="Normal"/>
    <w:link w:val="ListParagraphChar"/>
    <w:uiPriority w:val="34"/>
    <w:qFormat/>
    <w:rsid w:val="00342FCB"/>
    <w:pPr>
      <w:ind w:left="720"/>
      <w:contextualSpacing/>
    </w:pPr>
  </w:style>
  <w:style w:type="character" w:customStyle="1" w:styleId="ListParagraphChar">
    <w:name w:val="List Paragraph Char"/>
    <w:aliases w:val="List Paragraph (numbered (a)) Char,List Paragraph1 Char,Project Profile name Char,Paragraphe de liste1 Char,Numbered paragraph Char,Paragraphe de liste Char,Medium Grid 1 - Accent 21 Char,Numbered List Paragraph Char,References Char"/>
    <w:link w:val="ListParagraph"/>
    <w:uiPriority w:val="34"/>
    <w:qFormat/>
    <w:locked/>
    <w:rsid w:val="0065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Laura</dc:creator>
  <cp:keywords/>
  <dc:description/>
  <cp:lastModifiedBy>Smith, Tracey</cp:lastModifiedBy>
  <cp:revision>2</cp:revision>
  <dcterms:created xsi:type="dcterms:W3CDTF">2021-06-02T19:58:00Z</dcterms:created>
  <dcterms:modified xsi:type="dcterms:W3CDTF">2021-06-02T19:58:00Z</dcterms:modified>
</cp:coreProperties>
</file>